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92" w:name="_GoBack"/>
      <w:bookmarkEnd w:id="92"/>
    </w:p>
    <w:p>
      <w:pPr>
        <w:ind w:firstLine="0" w:firstLineChars="0"/>
        <w:jc w:val="center"/>
        <w:rPr>
          <w:rFonts w:hint="default" w:ascii="Times New Roman" w:hAnsi="Times New Roman" w:cs="Times New Roman"/>
          <w:sz w:val="44"/>
          <w:szCs w:val="40"/>
          <w:lang w:val="en-US"/>
        </w:rPr>
      </w:pPr>
    </w:p>
    <w:p>
      <w:pPr>
        <w:ind w:firstLine="0" w:firstLineChars="0"/>
        <w:jc w:val="center"/>
        <w:rPr>
          <w:rFonts w:hint="default" w:ascii="Times New Roman" w:hAnsi="Times New Roman" w:cs="Times New Roman"/>
          <w:sz w:val="44"/>
          <w:szCs w:val="40"/>
          <w:lang w:val="en-US"/>
        </w:rPr>
      </w:pPr>
    </w:p>
    <w:p>
      <w:pPr>
        <w:ind w:firstLine="0" w:firstLineChars="0"/>
        <w:jc w:val="center"/>
        <w:rPr>
          <w:rFonts w:hint="default" w:ascii="Times New Roman" w:hAnsi="Times New Roman" w:eastAsia="方正小标宋简体" w:cs="Times New Roman"/>
          <w:b w:val="0"/>
          <w:bCs w:val="0"/>
          <w:sz w:val="44"/>
          <w:szCs w:val="44"/>
          <w:lang w:val="en-US"/>
        </w:rPr>
      </w:pPr>
    </w:p>
    <w:p>
      <w:pPr>
        <w:ind w:firstLine="0" w:firstLineChars="0"/>
        <w:jc w:val="center"/>
        <w:rPr>
          <w:rFonts w:hint="default" w:ascii="Times New Roman" w:hAnsi="Times New Roman" w:eastAsia="方正小标宋简体" w:cs="Times New Roman"/>
          <w:b w:val="0"/>
          <w:bCs w:val="0"/>
          <w:sz w:val="44"/>
          <w:szCs w:val="40"/>
          <w:lang w:val="en-US" w:eastAsia="zh-CN"/>
        </w:rPr>
      </w:pPr>
      <w:r>
        <w:rPr>
          <w:rFonts w:hint="default" w:ascii="Times New Roman" w:hAnsi="Times New Roman" w:eastAsia="方正小标宋简体" w:cs="Times New Roman"/>
          <w:b w:val="0"/>
          <w:bCs w:val="0"/>
          <w:sz w:val="44"/>
          <w:szCs w:val="44"/>
          <w:lang w:val="en-US"/>
        </w:rPr>
        <w:t>达州市</w:t>
      </w:r>
      <w:r>
        <w:rPr>
          <w:rFonts w:hint="default" w:ascii="Times New Roman" w:hAnsi="Times New Roman" w:eastAsia="方正小标宋简体" w:cs="Times New Roman"/>
          <w:b w:val="0"/>
          <w:bCs w:val="0"/>
          <w:sz w:val="44"/>
          <w:szCs w:val="44"/>
        </w:rPr>
        <w:t>人大</w:t>
      </w:r>
      <w:bookmarkStart w:id="0" w:name="_Toc9854"/>
      <w:r>
        <w:rPr>
          <w:rFonts w:hint="default" w:ascii="Times New Roman" w:hAnsi="Times New Roman" w:eastAsia="方正小标宋简体" w:cs="Times New Roman"/>
          <w:b w:val="0"/>
          <w:bCs w:val="0"/>
          <w:sz w:val="44"/>
          <w:szCs w:val="44"/>
        </w:rPr>
        <w:t>预算联网监督项目</w:t>
      </w:r>
      <w:bookmarkEnd w:id="0"/>
    </w:p>
    <w:p>
      <w:pPr>
        <w:pStyle w:val="20"/>
        <w:ind w:firstLine="3520" w:firstLineChars="800"/>
        <w:jc w:val="both"/>
        <w:rPr>
          <w:rFonts w:hint="default" w:ascii="Times New Roman" w:hAnsi="Times New Roman" w:eastAsia="方正小标宋简体" w:cs="Times New Roman"/>
          <w:b w:val="0"/>
          <w:bCs w:val="0"/>
          <w:sz w:val="44"/>
          <w:szCs w:val="40"/>
          <w:lang w:val="en-US" w:eastAsia="zh-CN"/>
        </w:rPr>
      </w:pPr>
      <w:r>
        <w:rPr>
          <w:rFonts w:hint="default" w:ascii="Times New Roman" w:hAnsi="Times New Roman" w:eastAsia="方正小标宋简体" w:cs="Times New Roman"/>
          <w:b w:val="0"/>
          <w:bCs w:val="0"/>
          <w:sz w:val="44"/>
          <w:szCs w:val="40"/>
          <w:lang w:val="en-US" w:eastAsia="zh-CN"/>
        </w:rPr>
        <w:t>需求</w:t>
      </w:r>
      <w:r>
        <w:rPr>
          <w:rFonts w:hint="eastAsia" w:ascii="Times New Roman" w:hAnsi="Times New Roman" w:eastAsia="方正小标宋简体" w:cs="Times New Roman"/>
          <w:b w:val="0"/>
          <w:bCs w:val="0"/>
          <w:sz w:val="44"/>
          <w:szCs w:val="40"/>
          <w:lang w:val="en-US" w:eastAsia="zh-CN"/>
        </w:rPr>
        <w:t>说明</w:t>
      </w:r>
      <w:r>
        <w:rPr>
          <w:rFonts w:hint="default" w:ascii="Times New Roman" w:hAnsi="Times New Roman" w:eastAsia="方正小标宋简体" w:cs="Times New Roman"/>
          <w:b w:val="0"/>
          <w:bCs w:val="0"/>
          <w:sz w:val="44"/>
          <w:szCs w:val="40"/>
          <w:lang w:val="en-US" w:eastAsia="zh-CN"/>
        </w:rPr>
        <w:t>书</w:t>
      </w:r>
    </w:p>
    <w:p>
      <w:pPr>
        <w:ind w:firstLine="0" w:firstLineChars="0"/>
        <w:rPr>
          <w:rFonts w:hint="default" w:ascii="Times New Roman" w:hAnsi="Times New Roman" w:cs="Times New Roman"/>
          <w:b/>
          <w:szCs w:val="24"/>
        </w:rPr>
        <w:sectPr>
          <w:headerReference r:id="rId7" w:type="first"/>
          <w:footerReference r:id="rId10" w:type="first"/>
          <w:headerReference r:id="rId5" w:type="default"/>
          <w:footerReference r:id="rId8" w:type="default"/>
          <w:headerReference r:id="rId6" w:type="even"/>
          <w:footerReference r:id="rId9" w:type="even"/>
          <w:pgSz w:w="11910" w:h="16850"/>
          <w:pgMar w:top="1440" w:right="1797" w:bottom="1440" w:left="1797" w:header="454" w:footer="994" w:gutter="0"/>
          <w:pgNumType w:start="1"/>
          <w:cols w:space="720" w:num="1"/>
        </w:sectPr>
      </w:pPr>
      <w:bookmarkStart w:id="1" w:name="_Toc509412955"/>
    </w:p>
    <w:bookmarkEnd w:id="1"/>
    <w:p>
      <w:pPr>
        <w:pStyle w:val="5"/>
        <w:numPr>
          <w:ilvl w:val="0"/>
          <w:numId w:val="0"/>
        </w:numPr>
        <w:spacing w:line="520" w:lineRule="exact"/>
        <w:ind w:left="574"/>
        <w:rPr>
          <w:rFonts w:hint="default" w:ascii="Times New Roman" w:hAnsi="Times New Roman" w:cs="Times New Roman"/>
          <w:sz w:val="24"/>
          <w:szCs w:val="24"/>
        </w:rPr>
      </w:pPr>
      <w:bookmarkStart w:id="2" w:name="_Toc16381"/>
      <w:bookmarkStart w:id="3" w:name="_Toc3448"/>
      <w:bookmarkStart w:id="4" w:name="_Toc29894"/>
      <w:bookmarkStart w:id="5" w:name="_Toc509412985"/>
      <w:bookmarkStart w:id="6" w:name="_Toc15046"/>
      <w:r>
        <w:rPr>
          <w:rFonts w:hint="default" w:ascii="Times New Roman" w:hAnsi="Times New Roman" w:cs="Times New Roman"/>
          <w:sz w:val="24"/>
          <w:szCs w:val="24"/>
        </w:rPr>
        <w:t>一、系统建设部分</w:t>
      </w:r>
    </w:p>
    <w:p>
      <w:pPr>
        <w:pStyle w:val="5"/>
        <w:spacing w:line="520" w:lineRule="exact"/>
        <w:ind w:hanging="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系统建设内容</w:t>
      </w:r>
      <w:bookmarkEnd w:id="2"/>
      <w:bookmarkEnd w:id="3"/>
      <w:bookmarkEnd w:id="4"/>
    </w:p>
    <w:p>
      <w:pPr>
        <w:pStyle w:val="7"/>
        <w:spacing w:line="520" w:lineRule="exact"/>
        <w:ind w:left="0" w:firstLine="482" w:firstLineChars="200"/>
        <w:rPr>
          <w:rFonts w:hint="default" w:ascii="Times New Roman" w:hAnsi="Times New Roman" w:eastAsia="宋体" w:cs="Times New Roman"/>
          <w:sz w:val="24"/>
          <w:szCs w:val="24"/>
        </w:rPr>
      </w:pPr>
      <w:bookmarkStart w:id="7" w:name="_Toc4024"/>
      <w:bookmarkStart w:id="8" w:name="_Toc8917"/>
      <w:bookmarkStart w:id="9" w:name="_Toc102689879"/>
      <w:bookmarkStart w:id="10" w:name="_Toc25176"/>
      <w:bookmarkStart w:id="11" w:name="_Toc78896623"/>
      <w:r>
        <w:rPr>
          <w:rFonts w:hint="default" w:ascii="Times New Roman" w:hAnsi="Times New Roman" w:eastAsia="宋体" w:cs="Times New Roman"/>
          <w:sz w:val="24"/>
          <w:szCs w:val="24"/>
        </w:rPr>
        <w:t>全景监控</w:t>
      </w:r>
      <w:bookmarkEnd w:id="7"/>
    </w:p>
    <w:p>
      <w:pPr>
        <w:spacing w:line="520" w:lineRule="exact"/>
        <w:ind w:firstLine="480"/>
        <w:rPr>
          <w:rFonts w:hint="default" w:ascii="Times New Roman" w:hAnsi="Times New Roman" w:cs="Times New Roman"/>
          <w:szCs w:val="24"/>
          <w:lang w:val="en-US"/>
        </w:rPr>
      </w:pPr>
      <w:r>
        <w:rPr>
          <w:rFonts w:hint="default" w:ascii="Times New Roman" w:hAnsi="Times New Roman" w:cs="Times New Roman"/>
          <w:szCs w:val="24"/>
          <w:lang w:val="en-US"/>
        </w:rPr>
        <w:t>预算审查监督全景监控主要对总预算编制审查、部门预算编制审查、一般公共预算、政府性基金预算、国有资本经营预算、预算调整审查、决算审查等方面进行监控。</w:t>
      </w:r>
    </w:p>
    <w:p>
      <w:pPr>
        <w:pStyle w:val="7"/>
        <w:spacing w:line="520" w:lineRule="exact"/>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标准库</w:t>
      </w:r>
    </w:p>
    <w:p>
      <w:pPr>
        <w:ind w:firstLine="480"/>
        <w:rPr>
          <w:rFonts w:hint="default" w:ascii="Times New Roman" w:hAnsi="Times New Roman" w:cs="Times New Roman"/>
        </w:rPr>
      </w:pPr>
      <w:r>
        <w:rPr>
          <w:rFonts w:hint="default" w:ascii="Times New Roman" w:hAnsi="Times New Roman" w:cs="Times New Roman"/>
          <w:lang w:val="en-US"/>
        </w:rPr>
        <w:t>建立符合</w:t>
      </w:r>
      <w:r>
        <w:rPr>
          <w:rFonts w:hint="default" w:ascii="Times New Roman" w:hAnsi="Times New Roman" w:cs="Times New Roman"/>
        </w:rPr>
        <w:t>四川省《人大预算联网审查监督数据信息提供规范》</w:t>
      </w:r>
      <w:r>
        <w:rPr>
          <w:rFonts w:hint="default" w:ascii="Times New Roman" w:hAnsi="Times New Roman" w:cs="Times New Roman"/>
          <w:lang w:val="en-US"/>
        </w:rPr>
        <w:t>要求的</w:t>
      </w:r>
      <w:r>
        <w:rPr>
          <w:rFonts w:hint="default" w:ascii="Times New Roman" w:hAnsi="Times New Roman" w:cs="Times New Roman"/>
        </w:rPr>
        <w:t>预算决算、社会保险基金、税务、国有资产、审计监督和人大纵向监督</w:t>
      </w:r>
      <w:r>
        <w:rPr>
          <w:rFonts w:hint="default" w:ascii="Times New Roman" w:hAnsi="Times New Roman" w:cs="Times New Roman"/>
          <w:lang w:val="en-US"/>
        </w:rPr>
        <w:t>的数据信息标准库。</w:t>
      </w:r>
    </w:p>
    <w:p>
      <w:pPr>
        <w:pStyle w:val="7"/>
        <w:spacing w:line="520" w:lineRule="exact"/>
        <w:ind w:left="0" w:firstLine="482" w:firstLineChars="200"/>
        <w:rPr>
          <w:rFonts w:hint="default" w:ascii="Times New Roman" w:hAnsi="Times New Roman" w:eastAsia="宋体" w:cs="Times New Roman"/>
          <w:sz w:val="24"/>
          <w:szCs w:val="24"/>
        </w:rPr>
      </w:pPr>
      <w:bookmarkStart w:id="12" w:name="_Toc24997"/>
      <w:r>
        <w:rPr>
          <w:rFonts w:hint="default" w:ascii="Times New Roman" w:hAnsi="Times New Roman" w:eastAsia="宋体" w:cs="Times New Roman"/>
          <w:sz w:val="24"/>
          <w:szCs w:val="24"/>
        </w:rPr>
        <w:t>预算审查监督模块</w:t>
      </w:r>
      <w:bookmarkEnd w:id="8"/>
      <w:bookmarkEnd w:id="9"/>
      <w:bookmarkEnd w:id="10"/>
      <w:bookmarkEnd w:id="12"/>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全面梳理一般公共预算、政府性基金预算、国有资本经营预算、社会保险基金预算“四本账”的审查关注点，按照审查关注点，对具体审查内容进行细化。通过厘清不同账本审查关注点、具体审查内容之间的关联及其与政策法规之间的关联，强化审查关注点、审查内容、政策依据的联动分析，突出对政策法规的遵循，提升人大审查监督效能。</w:t>
      </w:r>
    </w:p>
    <w:p>
      <w:pPr>
        <w:pStyle w:val="7"/>
        <w:spacing w:line="520" w:lineRule="exact"/>
        <w:ind w:left="0" w:firstLine="482" w:firstLineChars="200"/>
        <w:rPr>
          <w:rFonts w:hint="default" w:ascii="Times New Roman" w:hAnsi="Times New Roman" w:eastAsia="宋体" w:cs="Times New Roman"/>
          <w:sz w:val="24"/>
          <w:szCs w:val="24"/>
        </w:rPr>
      </w:pPr>
      <w:bookmarkStart w:id="13" w:name="_Toc102689881"/>
      <w:bookmarkStart w:id="14" w:name="_Toc26562"/>
      <w:bookmarkStart w:id="15" w:name="_Toc28686"/>
      <w:bookmarkStart w:id="16" w:name="_Toc18250"/>
      <w:r>
        <w:rPr>
          <w:rFonts w:hint="default" w:ascii="Times New Roman" w:hAnsi="Times New Roman" w:eastAsia="宋体" w:cs="Times New Roman"/>
          <w:sz w:val="24"/>
          <w:szCs w:val="24"/>
        </w:rPr>
        <w:t>专项监督</w:t>
      </w:r>
      <w:bookmarkEnd w:id="13"/>
      <w:r>
        <w:rPr>
          <w:rFonts w:hint="default" w:ascii="Times New Roman" w:hAnsi="Times New Roman" w:eastAsia="宋体" w:cs="Times New Roman"/>
          <w:sz w:val="24"/>
          <w:szCs w:val="24"/>
        </w:rPr>
        <w:t>模块</w:t>
      </w:r>
      <w:bookmarkEnd w:id="14"/>
      <w:bookmarkEnd w:id="15"/>
      <w:bookmarkEnd w:id="16"/>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依据人大对预算审查监督业务重点的拓展和人民群众普遍关注的热点，拓展专题监督模块，汇集专项数据综合分析，实现对专题业务，专项资金的全方位，多角度审查监督，使审查监督更有针对性。</w:t>
      </w:r>
    </w:p>
    <w:p>
      <w:pPr>
        <w:pStyle w:val="7"/>
        <w:spacing w:line="520" w:lineRule="exact"/>
        <w:ind w:left="0" w:firstLine="482" w:firstLineChars="200"/>
        <w:rPr>
          <w:rFonts w:hint="default" w:ascii="Times New Roman" w:hAnsi="Times New Roman" w:eastAsia="宋体" w:cs="Times New Roman"/>
          <w:sz w:val="24"/>
          <w:szCs w:val="24"/>
        </w:rPr>
      </w:pPr>
      <w:bookmarkStart w:id="17" w:name="_Toc102689883"/>
      <w:bookmarkStart w:id="18" w:name="_Hlk105343079"/>
      <w:bookmarkStart w:id="19" w:name="_Toc12073"/>
      <w:bookmarkStart w:id="20" w:name="_Toc7364"/>
      <w:bookmarkStart w:id="21" w:name="_Toc25062"/>
      <w:r>
        <w:rPr>
          <w:rFonts w:hint="default" w:ascii="Times New Roman" w:hAnsi="Times New Roman" w:eastAsia="宋体" w:cs="Times New Roman"/>
          <w:sz w:val="24"/>
          <w:szCs w:val="24"/>
        </w:rPr>
        <w:t>预警</w:t>
      </w:r>
      <w:bookmarkEnd w:id="17"/>
      <w:bookmarkEnd w:id="18"/>
      <w:r>
        <w:rPr>
          <w:rFonts w:hint="default" w:ascii="Times New Roman" w:hAnsi="Times New Roman" w:eastAsia="宋体" w:cs="Times New Roman"/>
          <w:sz w:val="24"/>
          <w:szCs w:val="24"/>
        </w:rPr>
        <w:t>监督模块</w:t>
      </w:r>
      <w:bookmarkEnd w:id="19"/>
      <w:bookmarkEnd w:id="20"/>
      <w:bookmarkEnd w:id="21"/>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根据党中央重大方针政策和决策部署，按照预算法、监督法等法律规定的审查监督重点内容，在平台中合理设计符合人大审查监督要求的预警规则、标准和参数。通过智能化技术对预决算数据、</w:t>
      </w:r>
      <w:r>
        <w:rPr>
          <w:rFonts w:hint="default" w:ascii="Times New Roman" w:hAnsi="Times New Roman" w:cs="Times New Roman"/>
          <w:szCs w:val="24"/>
          <w:lang w:val="en-US"/>
        </w:rPr>
        <w:t>审计监督</w:t>
      </w:r>
      <w:r>
        <w:rPr>
          <w:rFonts w:hint="default" w:ascii="Times New Roman" w:hAnsi="Times New Roman" w:cs="Times New Roman"/>
          <w:szCs w:val="24"/>
        </w:rPr>
        <w:t>和</w:t>
      </w:r>
      <w:r>
        <w:rPr>
          <w:rFonts w:hint="default" w:ascii="Times New Roman" w:hAnsi="Times New Roman" w:cs="Times New Roman"/>
          <w:szCs w:val="24"/>
          <w:lang w:val="en-US"/>
        </w:rPr>
        <w:t>政府债务</w:t>
      </w:r>
      <w:r>
        <w:rPr>
          <w:rFonts w:hint="default" w:ascii="Times New Roman" w:hAnsi="Times New Roman" w:cs="Times New Roman"/>
          <w:szCs w:val="24"/>
        </w:rPr>
        <w:t>等相关数据，按照预警类型和严重程度进行分级别预警，并自动抓取预警结果，经确认后根据问题分类自动形成预警报告信息，推送到财政或相关部门，并由部门对预警信息进行反馈，完成“预警、分析、反馈、处理”的预警监督闭环管理。在本系统中合理地设置，符合人大监督职能的预警规则、标准和参数。预警规则设置、固定监督数据检索条件，从数据中心自动判断是否存在不符合条件的数据，并抓取预警数据到预警结果数据库中“静态”保存。根据设定预警结果发布方式，通知相应的系统用户处理预警信息，用户可查看并处理预警信息结果。按程度轻重分别设置红橙黄等预警信号。预警规则包括：预警指标、预警公式、预警信号级别、政策依据等。根据预设的预警规则，对系统数据进行实时监控，发现问题及时报警，并推送数据进行数据分析，按程序进行问题处理。</w:t>
      </w:r>
    </w:p>
    <w:p>
      <w:pPr>
        <w:pStyle w:val="7"/>
        <w:spacing w:line="520" w:lineRule="exact"/>
        <w:ind w:left="0" w:firstLine="482" w:firstLineChars="200"/>
        <w:rPr>
          <w:rFonts w:hint="default" w:ascii="Times New Roman" w:hAnsi="Times New Roman" w:eastAsia="宋体" w:cs="Times New Roman"/>
          <w:sz w:val="24"/>
          <w:szCs w:val="24"/>
        </w:rPr>
      </w:pPr>
      <w:bookmarkStart w:id="22" w:name="_Toc128668375"/>
      <w:bookmarkStart w:id="23" w:name="_Toc858"/>
      <w:bookmarkStart w:id="24" w:name="_Toc24867"/>
      <w:bookmarkStart w:id="25" w:name="_Toc15038"/>
      <w:bookmarkStart w:id="26" w:name="_Toc72422123"/>
      <w:bookmarkStart w:id="27" w:name="_Toc102689884"/>
      <w:r>
        <w:rPr>
          <w:rFonts w:hint="default" w:ascii="Times New Roman" w:hAnsi="Times New Roman" w:eastAsia="宋体" w:cs="Times New Roman"/>
          <w:sz w:val="24"/>
          <w:szCs w:val="24"/>
        </w:rPr>
        <w:t>国有资产监督</w:t>
      </w:r>
      <w:bookmarkEnd w:id="22"/>
      <w:r>
        <w:rPr>
          <w:rFonts w:hint="default" w:ascii="Times New Roman" w:hAnsi="Times New Roman" w:eastAsia="宋体" w:cs="Times New Roman"/>
          <w:sz w:val="24"/>
          <w:szCs w:val="24"/>
        </w:rPr>
        <w:t>模块</w:t>
      </w:r>
      <w:bookmarkEnd w:id="23"/>
      <w:bookmarkEnd w:id="24"/>
      <w:bookmarkEnd w:id="25"/>
    </w:p>
    <w:p>
      <w:pPr>
        <w:spacing w:line="520" w:lineRule="exact"/>
        <w:ind w:firstLine="480"/>
        <w:rPr>
          <w:rFonts w:hint="default" w:ascii="Times New Roman" w:hAnsi="Times New Roman" w:cs="Times New Roman"/>
          <w:szCs w:val="24"/>
        </w:rPr>
      </w:pPr>
      <w:bookmarkStart w:id="28" w:name="_Hlk79135176"/>
      <w:r>
        <w:rPr>
          <w:rFonts w:hint="default" w:ascii="Times New Roman" w:hAnsi="Times New Roman" w:cs="Times New Roman"/>
          <w:szCs w:val="24"/>
        </w:rPr>
        <w:t>将国有资产监督模块独立建设为与预算审查模块并列的平台子系统，并对其功能进行全面再造，构建完整的国有资产监督评价体系。国有资产监督模块应包括报表体系、国有资产综合评价、监督预警、智能分析报告、国有资产报告、国资监管与审计</w:t>
      </w:r>
      <w:r>
        <w:rPr>
          <w:rFonts w:hint="default" w:ascii="Times New Roman" w:hAnsi="Times New Roman" w:cs="Times New Roman"/>
          <w:szCs w:val="24"/>
          <w:lang w:val="en-US"/>
        </w:rPr>
        <w:t>监督</w:t>
      </w:r>
      <w:r>
        <w:rPr>
          <w:rFonts w:hint="default" w:ascii="Times New Roman" w:hAnsi="Times New Roman" w:cs="Times New Roman"/>
          <w:szCs w:val="24"/>
        </w:rPr>
        <w:t>衔接、政策法规、横向联通与纵向贯通等内容。</w:t>
      </w:r>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利用大数据和智能分析技术，通过完善国有资产数据报表、报告体系，并与预决算审查、预算执行监督、审计监督等模块进行有效衔接，构建四类国有资产（企业</w:t>
      </w:r>
      <w:r>
        <w:rPr>
          <w:rFonts w:hint="default" w:ascii="Times New Roman" w:hAnsi="Times New Roman" w:cs="Times New Roman"/>
          <w:szCs w:val="24"/>
          <w:lang w:val="en-US"/>
        </w:rPr>
        <w:t>国有资产</w:t>
      </w:r>
      <w:r>
        <w:rPr>
          <w:rFonts w:hint="default" w:ascii="Times New Roman" w:hAnsi="Times New Roman" w:cs="Times New Roman"/>
          <w:szCs w:val="24"/>
        </w:rPr>
        <w:t>、金融企业</w:t>
      </w:r>
      <w:r>
        <w:rPr>
          <w:rFonts w:hint="default" w:ascii="Times New Roman" w:hAnsi="Times New Roman" w:cs="Times New Roman"/>
          <w:szCs w:val="24"/>
          <w:lang w:val="en-US"/>
        </w:rPr>
        <w:t>国有资产</w:t>
      </w:r>
      <w:r>
        <w:rPr>
          <w:rFonts w:hint="default" w:ascii="Times New Roman" w:hAnsi="Times New Roman" w:cs="Times New Roman"/>
          <w:szCs w:val="24"/>
        </w:rPr>
        <w:t>、行政事业</w:t>
      </w:r>
      <w:r>
        <w:rPr>
          <w:rFonts w:hint="default" w:ascii="Times New Roman" w:hAnsi="Times New Roman" w:cs="Times New Roman"/>
          <w:szCs w:val="24"/>
          <w:lang w:val="en-US"/>
        </w:rPr>
        <w:t>性国有资产</w:t>
      </w:r>
      <w:r>
        <w:rPr>
          <w:rFonts w:hint="default" w:ascii="Times New Roman" w:hAnsi="Times New Roman" w:cs="Times New Roman"/>
          <w:szCs w:val="24"/>
        </w:rPr>
        <w:t>、</w:t>
      </w:r>
      <w:r>
        <w:rPr>
          <w:rFonts w:hint="default" w:ascii="Times New Roman" w:hAnsi="Times New Roman" w:cs="Times New Roman"/>
          <w:szCs w:val="24"/>
          <w:lang w:val="en-US"/>
        </w:rPr>
        <w:t>国有</w:t>
      </w:r>
      <w:r>
        <w:rPr>
          <w:rFonts w:hint="default" w:ascii="Times New Roman" w:hAnsi="Times New Roman" w:cs="Times New Roman"/>
          <w:szCs w:val="24"/>
        </w:rPr>
        <w:t>自然资源</w:t>
      </w:r>
      <w:r>
        <w:rPr>
          <w:rFonts w:hint="default" w:ascii="Times New Roman" w:hAnsi="Times New Roman" w:cs="Times New Roman"/>
          <w:szCs w:val="24"/>
          <w:lang w:val="en-US"/>
        </w:rPr>
        <w:t>资产</w:t>
      </w:r>
      <w:r>
        <w:rPr>
          <w:rFonts w:hint="default" w:ascii="Times New Roman" w:hAnsi="Times New Roman" w:cs="Times New Roman"/>
          <w:szCs w:val="24"/>
        </w:rPr>
        <w:t>）评价体系。从制度建设、投向布局、绩效监督、保值增值、支撑社会事业发展和生态文明建设等方面建立分析评价指标体系，并对相关数据进行全口径、多层次、多维度的分析，以列表、文字、报告和可视化图形相结合的方式对分析结果进行呈现，全面反映各类国有资产配置、使用、处置和效益等情况，实现对国有资产管理情况进行科学评价和监督。</w:t>
      </w:r>
    </w:p>
    <w:bookmarkEnd w:id="28"/>
    <w:p>
      <w:pPr>
        <w:pStyle w:val="7"/>
        <w:spacing w:line="520" w:lineRule="exact"/>
        <w:ind w:left="0" w:firstLine="482" w:firstLineChars="200"/>
        <w:rPr>
          <w:rFonts w:hint="default" w:ascii="Times New Roman" w:hAnsi="Times New Roman" w:eastAsia="宋体" w:cs="Times New Roman"/>
          <w:sz w:val="24"/>
          <w:szCs w:val="24"/>
        </w:rPr>
      </w:pPr>
      <w:bookmarkStart w:id="29" w:name="_Toc28291"/>
      <w:bookmarkStart w:id="30" w:name="_Toc23421"/>
      <w:bookmarkStart w:id="31" w:name="_Toc128668374"/>
      <w:bookmarkStart w:id="32" w:name="_Toc30799"/>
      <w:r>
        <w:rPr>
          <w:rFonts w:hint="default" w:ascii="Times New Roman" w:hAnsi="Times New Roman" w:eastAsia="宋体" w:cs="Times New Roman"/>
          <w:sz w:val="24"/>
          <w:szCs w:val="24"/>
        </w:rPr>
        <w:t>政府债务监督模块</w:t>
      </w:r>
      <w:bookmarkEnd w:id="29"/>
      <w:bookmarkEnd w:id="30"/>
      <w:bookmarkEnd w:id="31"/>
      <w:bookmarkEnd w:id="32"/>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对政府债券、存量债务、外债、国债转贷等各种类型已确定债务总体情况、债券发行、还本付息、债务结构及分布、债券资金使用情况等进行分析。结合债务风险防范机制，构建债务风险防范预警指标体系。实现对政府债券、存量债务、外债、国债转贷等各种类型已确定债务的总体情况、债券发行情况、还本付息情况、债务结构及分布情况等方面的分析。并结合债务风险防范机制，构建债务风险防范预警指标体系，对异常情况进行自动预警，量化评价和监控区域债务风险。直观反映地方债务水平和财政运行的健康程度，为后续有针对性地防范地方系统风险、化解存量债务、优化财政支出结构，促进财政经济健康可持续发展提供参考。</w:t>
      </w:r>
    </w:p>
    <w:p>
      <w:pPr>
        <w:pStyle w:val="7"/>
        <w:spacing w:line="520" w:lineRule="exact"/>
        <w:ind w:left="0" w:firstLine="482" w:firstLineChars="200"/>
        <w:rPr>
          <w:rFonts w:hint="default" w:ascii="Times New Roman" w:hAnsi="Times New Roman" w:eastAsia="宋体" w:cs="Times New Roman"/>
          <w:sz w:val="24"/>
          <w:szCs w:val="24"/>
        </w:rPr>
      </w:pPr>
      <w:bookmarkStart w:id="33" w:name="_Toc128668376"/>
      <w:bookmarkStart w:id="34" w:name="_Toc13327"/>
      <w:bookmarkStart w:id="35" w:name="_Toc12586"/>
      <w:bookmarkStart w:id="36" w:name="_Toc13351"/>
      <w:r>
        <w:rPr>
          <w:rFonts w:hint="default" w:ascii="Times New Roman" w:hAnsi="Times New Roman" w:eastAsia="宋体" w:cs="Times New Roman"/>
          <w:sz w:val="24"/>
          <w:szCs w:val="24"/>
        </w:rPr>
        <w:t>审计监督</w:t>
      </w:r>
      <w:bookmarkEnd w:id="33"/>
      <w:r>
        <w:rPr>
          <w:rFonts w:hint="default" w:ascii="Times New Roman" w:hAnsi="Times New Roman" w:eastAsia="宋体" w:cs="Times New Roman"/>
          <w:sz w:val="24"/>
          <w:szCs w:val="24"/>
        </w:rPr>
        <w:t>模块</w:t>
      </w:r>
      <w:bookmarkEnd w:id="34"/>
      <w:bookmarkEnd w:id="35"/>
      <w:bookmarkEnd w:id="36"/>
    </w:p>
    <w:p>
      <w:pPr>
        <w:spacing w:line="520" w:lineRule="exact"/>
        <w:ind w:firstLine="480"/>
        <w:rPr>
          <w:rFonts w:hint="default" w:ascii="Times New Roman" w:hAnsi="Times New Roman" w:cs="Times New Roman"/>
          <w:szCs w:val="24"/>
        </w:rPr>
      </w:pPr>
      <w:bookmarkStart w:id="37" w:name="_Hlk101173828"/>
      <w:r>
        <w:rPr>
          <w:rFonts w:hint="default" w:ascii="Times New Roman" w:hAnsi="Times New Roman" w:cs="Times New Roman"/>
          <w:szCs w:val="24"/>
        </w:rPr>
        <w:t>实</w:t>
      </w:r>
      <w:bookmarkEnd w:id="37"/>
      <w:r>
        <w:rPr>
          <w:rFonts w:hint="default" w:ascii="Times New Roman" w:hAnsi="Times New Roman" w:cs="Times New Roman"/>
          <w:szCs w:val="24"/>
        </w:rPr>
        <w:t>现对审计情况的在线监督。可查阅审计项目计划、审计工作报告及问题清单、审计整改报告、专项审计报告、审计结果公告等内容。为加强对审计查出突出问题整改情况的监督，切实推动审计查出突出问题整改工作的制度化、长效化，建立审计查出突出问题整改情况在线跟踪机制，跟踪问题整改落实与反馈，增强监督的针对性和实效性。充分利用审计成果，将审计监督模块与预决算审查、预算执行监督、国有资产监督等模块有效衔接，利用审计报告反映的相关问题，为审查监督工作提供支撑。通过建立审计问题台账，与审计机关、整改单位、人大代表、预算工委实现相关信息共享，增强监督合力。</w:t>
      </w:r>
    </w:p>
    <w:p>
      <w:pPr>
        <w:pStyle w:val="7"/>
        <w:spacing w:line="520" w:lineRule="exact"/>
        <w:ind w:left="0" w:firstLine="482" w:firstLineChars="200"/>
        <w:rPr>
          <w:rFonts w:hint="default" w:ascii="Times New Roman" w:hAnsi="Times New Roman" w:eastAsia="宋体" w:cs="Times New Roman"/>
          <w:sz w:val="24"/>
          <w:szCs w:val="24"/>
        </w:rPr>
      </w:pPr>
      <w:bookmarkStart w:id="38" w:name="_Toc22054"/>
      <w:bookmarkStart w:id="39" w:name="_Toc13302"/>
      <w:bookmarkStart w:id="40" w:name="_Toc14502"/>
      <w:bookmarkStart w:id="41" w:name="_Toc128668380"/>
      <w:r>
        <w:rPr>
          <w:rFonts w:hint="default" w:ascii="Times New Roman" w:hAnsi="Times New Roman" w:eastAsia="宋体" w:cs="Times New Roman"/>
          <w:sz w:val="24"/>
          <w:szCs w:val="24"/>
        </w:rPr>
        <w:t>智能报告</w:t>
      </w:r>
      <w:bookmarkEnd w:id="38"/>
      <w:bookmarkEnd w:id="39"/>
      <w:bookmarkEnd w:id="40"/>
      <w:r>
        <w:rPr>
          <w:rFonts w:hint="default" w:ascii="Times New Roman" w:hAnsi="Times New Roman" w:eastAsia="宋体" w:cs="Times New Roman"/>
          <w:sz w:val="24"/>
          <w:szCs w:val="24"/>
        </w:rPr>
        <w:t>模块</w:t>
      </w:r>
    </w:p>
    <w:p>
      <w:pPr>
        <w:spacing w:line="520" w:lineRule="exact"/>
        <w:ind w:firstLine="482"/>
        <w:rPr>
          <w:rFonts w:hint="default" w:ascii="Times New Roman" w:hAnsi="Times New Roman" w:cs="Times New Roman"/>
          <w:szCs w:val="24"/>
        </w:rPr>
      </w:pPr>
      <w:r>
        <w:rPr>
          <w:rFonts w:hint="default" w:ascii="Times New Roman" w:hAnsi="Times New Roman" w:cs="Times New Roman"/>
          <w:b/>
          <w:bCs/>
          <w:szCs w:val="24"/>
        </w:rPr>
        <w:t>智能审查功能：</w:t>
      </w:r>
      <w:r>
        <w:rPr>
          <w:rFonts w:hint="default" w:ascii="Times New Roman" w:hAnsi="Times New Roman" w:cs="Times New Roman"/>
          <w:szCs w:val="24"/>
        </w:rPr>
        <w:t>通过采集、整理、挖掘历年预决算相关数据，按照不同的审查阶段、预算层次提供从类到项的关联分析、结构分析等指标数据。该功能应遵循“高度结果化”的原则，以简洁易懂的语言对相关指标进行说明，同时以列表、可视化图形和审查报告为辅助，达到直观化的目的。</w:t>
      </w:r>
    </w:p>
    <w:p>
      <w:pPr>
        <w:spacing w:line="520" w:lineRule="exact"/>
        <w:ind w:firstLine="482"/>
        <w:rPr>
          <w:rFonts w:hint="default" w:ascii="Times New Roman" w:hAnsi="Times New Roman" w:cs="Times New Roman"/>
          <w:szCs w:val="24"/>
        </w:rPr>
      </w:pPr>
      <w:bookmarkStart w:id="42" w:name="_Toc72422124"/>
      <w:r>
        <w:rPr>
          <w:rFonts w:hint="default" w:ascii="Times New Roman" w:hAnsi="Times New Roman" w:cs="Times New Roman"/>
          <w:b/>
          <w:bCs/>
          <w:szCs w:val="24"/>
        </w:rPr>
        <w:t>智能审查分析报告</w:t>
      </w:r>
      <w:bookmarkEnd w:id="42"/>
      <w:r>
        <w:rPr>
          <w:rFonts w:hint="default" w:ascii="Times New Roman" w:hAnsi="Times New Roman" w:cs="Times New Roman"/>
          <w:b/>
          <w:bCs/>
          <w:szCs w:val="24"/>
        </w:rPr>
        <w:t>：</w:t>
      </w:r>
      <w:r>
        <w:rPr>
          <w:rFonts w:hint="default" w:ascii="Times New Roman" w:hAnsi="Times New Roman" w:cs="Times New Roman"/>
          <w:szCs w:val="24"/>
        </w:rPr>
        <w:t>以智能审查的结果为基础，结合预算编制、执行、调整、决算等全口径、全过程数据，丰富各类报告模板类型。按照预决算各阶段审查分析主题，对相关结果进行归类重组，形成相应的智能审查分析报告模板。用户可根据报告模板内容进行修改和完善，按月度、季度、年度分类自动生成预警监督结果报告、预算执行分析报告、决算草案分析</w:t>
      </w:r>
      <w:bookmarkStart w:id="43" w:name="_Hlk105597226"/>
      <w:r>
        <w:rPr>
          <w:rFonts w:hint="default" w:ascii="Times New Roman" w:hAnsi="Times New Roman" w:cs="Times New Roman"/>
          <w:szCs w:val="24"/>
        </w:rPr>
        <w:t>等周期性报告；按政府投资项目、重点支出、财政转移支付、财政专项资金、财政绩效等专项监督内容分类，自动生成相应的专项监督报告，</w:t>
      </w:r>
      <w:bookmarkEnd w:id="43"/>
      <w:r>
        <w:rPr>
          <w:rFonts w:hint="default" w:ascii="Times New Roman" w:hAnsi="Times New Roman" w:cs="Times New Roman"/>
          <w:szCs w:val="24"/>
        </w:rPr>
        <w:t>减少人工编制预算审查报告的工作量，提高工作效率。</w:t>
      </w:r>
    </w:p>
    <w:p>
      <w:pPr>
        <w:pStyle w:val="7"/>
        <w:spacing w:line="520" w:lineRule="exact"/>
        <w:ind w:left="0" w:firstLine="482" w:firstLineChars="200"/>
        <w:rPr>
          <w:rFonts w:hint="default" w:ascii="Times New Roman" w:hAnsi="Times New Roman" w:eastAsia="宋体" w:cs="Times New Roman"/>
          <w:sz w:val="24"/>
          <w:szCs w:val="24"/>
        </w:rPr>
      </w:pPr>
      <w:bookmarkStart w:id="44" w:name="_Toc545"/>
      <w:bookmarkStart w:id="45" w:name="_Toc686"/>
      <w:bookmarkStart w:id="46" w:name="_Toc22135"/>
      <w:bookmarkStart w:id="47" w:name="_Toc29100"/>
      <w:bookmarkStart w:id="48" w:name="_Toc509413017"/>
      <w:r>
        <w:rPr>
          <w:rFonts w:hint="default" w:ascii="Times New Roman" w:hAnsi="Times New Roman" w:eastAsia="宋体" w:cs="Times New Roman"/>
          <w:sz w:val="24"/>
          <w:szCs w:val="24"/>
        </w:rPr>
        <w:t>代表服务模块</w:t>
      </w:r>
      <w:bookmarkEnd w:id="44"/>
      <w:bookmarkEnd w:id="45"/>
      <w:bookmarkEnd w:id="46"/>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围绕人大代表预算审查监督职责，实现预决算审查、预算执行、预算调整审查阶段代表意见建议统一管理。实现在大会期间和闭会期间的人大代表意见征集、意见落实、意见反馈等环节全过程跟踪管理，为人大代表依法履职创造条件，提高人大代表议案以及建议、批评和意见办理质量，推进人大代表和社会各界意见建议工作制度化、常态化。</w:t>
      </w:r>
    </w:p>
    <w:bookmarkEnd w:id="47"/>
    <w:bookmarkEnd w:id="48"/>
    <w:p>
      <w:pPr>
        <w:pStyle w:val="7"/>
        <w:spacing w:line="520" w:lineRule="exact"/>
        <w:ind w:left="0" w:firstLine="482" w:firstLineChars="200"/>
        <w:rPr>
          <w:rFonts w:hint="default" w:ascii="Times New Roman" w:hAnsi="Times New Roman" w:eastAsia="宋体" w:cs="Times New Roman"/>
          <w:sz w:val="24"/>
          <w:szCs w:val="24"/>
        </w:rPr>
      </w:pPr>
      <w:bookmarkStart w:id="49" w:name="_Toc2645"/>
      <w:bookmarkStart w:id="50" w:name="_Toc22757"/>
      <w:bookmarkStart w:id="51" w:name="_Toc128668377"/>
      <w:bookmarkStart w:id="52" w:name="_Toc22909"/>
      <w:r>
        <w:rPr>
          <w:rFonts w:hint="default" w:ascii="Times New Roman" w:hAnsi="Times New Roman" w:eastAsia="宋体" w:cs="Times New Roman"/>
          <w:sz w:val="24"/>
          <w:szCs w:val="24"/>
        </w:rPr>
        <w:t>国民经济运行监督模块</w:t>
      </w:r>
      <w:bookmarkEnd w:id="49"/>
      <w:bookmarkEnd w:id="50"/>
      <w:bookmarkEnd w:id="51"/>
      <w:bookmarkEnd w:id="52"/>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 xml:space="preserve">采集统计、发改等部门和政府工作报告中有关国民经济运行的宏观经济数据，包括：地区生产总值、产业增加值、工业增加值、固定资产投资、社会消费品零售总额、居民收入、工业用电量等方面的数据，构建完整的宏观经济数据报表体系。通过对宏观经济数据的清洗、转换、验证和画像模型，逐步形成多层次、多维度的宏观经济分析模型和经济指标数据库，为政府预算审查分析、国有资产监督评价和领导决策提供经济数据参考。 </w:t>
      </w:r>
    </w:p>
    <w:p>
      <w:pPr>
        <w:pStyle w:val="7"/>
        <w:spacing w:line="520" w:lineRule="exact"/>
        <w:ind w:left="0" w:firstLine="482" w:firstLineChars="200"/>
        <w:rPr>
          <w:rFonts w:hint="default" w:ascii="Times New Roman" w:hAnsi="Times New Roman" w:eastAsia="宋体" w:cs="Times New Roman"/>
          <w:sz w:val="24"/>
          <w:szCs w:val="24"/>
        </w:rPr>
      </w:pPr>
      <w:bookmarkStart w:id="53" w:name="_Toc23467"/>
      <w:bookmarkStart w:id="54" w:name="_Toc19953"/>
      <w:bookmarkStart w:id="55" w:name="_Toc8516"/>
      <w:r>
        <w:rPr>
          <w:rFonts w:hint="default" w:ascii="Times New Roman" w:hAnsi="Times New Roman" w:eastAsia="宋体" w:cs="Times New Roman"/>
          <w:sz w:val="24"/>
          <w:szCs w:val="24"/>
        </w:rPr>
        <w:t>政策法规</w:t>
      </w:r>
      <w:bookmarkEnd w:id="53"/>
    </w:p>
    <w:p>
      <w:pPr>
        <w:spacing w:line="520" w:lineRule="exact"/>
        <w:ind w:firstLine="480"/>
        <w:rPr>
          <w:rFonts w:hint="default" w:ascii="Times New Roman" w:hAnsi="Times New Roman" w:cs="Times New Roman"/>
          <w:szCs w:val="24"/>
          <w:lang w:val="en-US"/>
        </w:rPr>
      </w:pPr>
      <w:r>
        <w:rPr>
          <w:rFonts w:hint="default" w:ascii="Times New Roman" w:hAnsi="Times New Roman" w:cs="Times New Roman"/>
          <w:szCs w:val="24"/>
          <w:lang w:val="en-US"/>
        </w:rPr>
        <w:t>收集人大预算审查监督、国有资产监督、政府债务监督、审计监督等改革部署、中央政策、全国人大、省委部署、市委部署、国资法规、人大预算监督法规、财政法规、人社法规、审计法规、税务法规、国家法律法规等方面的政策法规，并按次级类别、生效时间进行分类存放，支持在线预览、编辑、删除等。</w:t>
      </w:r>
    </w:p>
    <w:p>
      <w:pPr>
        <w:pStyle w:val="7"/>
        <w:spacing w:line="520" w:lineRule="exact"/>
        <w:ind w:left="0" w:firstLine="482" w:firstLineChars="200"/>
        <w:rPr>
          <w:rFonts w:hint="default" w:ascii="Times New Roman" w:hAnsi="Times New Roman" w:eastAsia="宋体" w:cs="Times New Roman"/>
          <w:sz w:val="24"/>
          <w:szCs w:val="24"/>
        </w:rPr>
      </w:pPr>
      <w:bookmarkStart w:id="56" w:name="_Toc28688"/>
      <w:r>
        <w:rPr>
          <w:rFonts w:hint="default" w:ascii="Times New Roman" w:hAnsi="Times New Roman" w:eastAsia="宋体" w:cs="Times New Roman"/>
          <w:sz w:val="24"/>
          <w:szCs w:val="24"/>
        </w:rPr>
        <w:t>纵向联网监督模块</w:t>
      </w:r>
      <w:bookmarkEnd w:id="41"/>
      <w:bookmarkEnd w:id="54"/>
      <w:bookmarkEnd w:id="55"/>
      <w:bookmarkEnd w:id="56"/>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 xml:space="preserve">基于数据中心，在网络贯通的基础上通过统一的数据交换接口，实现各级系统数据共享、指标共享。共性指标可从各地区财政收支增长比例、各地区财政收支排行、财政转移支付、财政专项资金分配及流向、扶贫资金分配及使用、涉农资金分配及使用、经济增长情况、国有资产运行管理情况等方面进行构建。系统支持数据下钻功能，上级系统可向下穿透查看各辖区的关键数据指标，同时，市级、县（区）级系统可查看部分数据指标在同级地区的排行情况。 </w:t>
      </w:r>
    </w:p>
    <w:bookmarkEnd w:id="11"/>
    <w:bookmarkEnd w:id="26"/>
    <w:bookmarkEnd w:id="27"/>
    <w:p>
      <w:pPr>
        <w:pStyle w:val="7"/>
        <w:spacing w:line="520" w:lineRule="exact"/>
        <w:ind w:left="0" w:firstLine="482" w:firstLineChars="200"/>
        <w:rPr>
          <w:rFonts w:hint="default" w:ascii="Times New Roman" w:hAnsi="Times New Roman" w:eastAsia="宋体" w:cs="Times New Roman"/>
          <w:sz w:val="24"/>
          <w:szCs w:val="24"/>
        </w:rPr>
      </w:pPr>
      <w:bookmarkStart w:id="57" w:name="_Toc32552"/>
      <w:bookmarkStart w:id="58" w:name="_Toc13681"/>
      <w:bookmarkStart w:id="59" w:name="_Toc20100"/>
      <w:bookmarkStart w:id="60" w:name="_Toc128668382"/>
      <w:bookmarkStart w:id="61" w:name="_Toc128668379"/>
      <w:bookmarkStart w:id="62" w:name="_Toc25953"/>
      <w:bookmarkStart w:id="63" w:name="_Toc20217861"/>
      <w:bookmarkStart w:id="64" w:name="_Toc78896629"/>
      <w:bookmarkStart w:id="65" w:name="_Toc1596"/>
      <w:r>
        <w:rPr>
          <w:rFonts w:hint="default" w:ascii="Times New Roman" w:hAnsi="Times New Roman" w:eastAsia="宋体" w:cs="Times New Roman"/>
          <w:sz w:val="24"/>
          <w:szCs w:val="24"/>
        </w:rPr>
        <w:t>移动APP应用</w:t>
      </w:r>
      <w:bookmarkEnd w:id="57"/>
      <w:bookmarkEnd w:id="58"/>
      <w:bookmarkEnd w:id="59"/>
      <w:bookmarkEnd w:id="60"/>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建设移动APP应用，嵌入达州城市大脑安e达APP中，将不受时间和空间的限制，为人大代表、常委会组成人员、各委员会的日常审查监督工作提供服务。实现对审查监督重点、社会民众关系的热点难点问题进行实时跟踪监督和意见建议提交和反馈。增强审查监督工作的实效性。也是为代表做好监督服务，做好信息互通，做好日常沟通的桥梁，使人大代表的审查监督工作更为日常化和便捷化。</w:t>
      </w:r>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按照移动应用的新要求，发挥互联网+、5G等新技术作用，对移动APP应用软件进行提升，在APP应用架构、应用内容模块、应用数据管理、用户权限管理、应用网络管理、移动服务模式等方面进行升级改造，实现服务的功能要求。</w:t>
      </w:r>
    </w:p>
    <w:p>
      <w:pPr>
        <w:pStyle w:val="7"/>
        <w:spacing w:line="520" w:lineRule="exact"/>
        <w:ind w:left="0" w:firstLine="482" w:firstLineChars="200"/>
        <w:rPr>
          <w:rFonts w:hint="default" w:ascii="Times New Roman" w:hAnsi="Times New Roman" w:eastAsia="宋体" w:cs="Times New Roman"/>
          <w:sz w:val="24"/>
          <w:szCs w:val="24"/>
        </w:rPr>
      </w:pPr>
      <w:bookmarkStart w:id="66" w:name="_Toc8220"/>
      <w:bookmarkStart w:id="67" w:name="_Toc1340"/>
      <w:bookmarkStart w:id="68" w:name="_Hlk101137673"/>
      <w:bookmarkStart w:id="69" w:name="_Toc9971"/>
      <w:r>
        <w:rPr>
          <w:rFonts w:hint="default" w:ascii="Times New Roman" w:hAnsi="Times New Roman" w:eastAsia="宋体" w:cs="Times New Roman"/>
          <w:sz w:val="24"/>
          <w:szCs w:val="24"/>
        </w:rPr>
        <w:t>预算联网数据中心</w:t>
      </w:r>
      <w:bookmarkEnd w:id="61"/>
      <w:bookmarkEnd w:id="66"/>
      <w:bookmarkEnd w:id="67"/>
      <w:bookmarkEnd w:id="68"/>
      <w:bookmarkEnd w:id="69"/>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数据中心是预算联网数据的汇集、储存、管理、交换、共享、安全中心，也是预算联网基础软硬件资源的管理、分配中心和大数据的查询、分析、挖掘中心。通过预算联网数据中心与财政、国资、税务、人社、医保等有关部门的数据对接，不但可以有效解决当前部门数据省、市级集中管理趋势下县区人大信息获取途径及手段的问题，还可以为各级人大预算联网监督系统的预算审查监督、国有资产监督、审计监督、政府</w:t>
      </w:r>
      <w:r>
        <w:rPr>
          <w:rFonts w:hint="default" w:ascii="Times New Roman" w:hAnsi="Times New Roman" w:cs="Times New Roman"/>
          <w:szCs w:val="24"/>
          <w:lang w:val="en-US"/>
        </w:rPr>
        <w:t>性</w:t>
      </w:r>
      <w:r>
        <w:rPr>
          <w:rFonts w:hint="default" w:ascii="Times New Roman" w:hAnsi="Times New Roman" w:cs="Times New Roman"/>
          <w:szCs w:val="24"/>
        </w:rPr>
        <w:t>债务监督、国民经济运行、综合分析、纵向贯通等模块提供统一数据共享交换和分发服务。</w:t>
      </w:r>
    </w:p>
    <w:p>
      <w:pPr>
        <w:pStyle w:val="7"/>
        <w:spacing w:line="520" w:lineRule="exact"/>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综合统计分析模块</w:t>
      </w:r>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rPr>
        <w:t>系统应具根据需要设置条件自动计算生成统计报表功能，通过表格图文直观反映监督结果（如预算收入、项目支出等平均进度、序时进度和快慢比例和排名），统计报表可固化和自定义。</w:t>
      </w:r>
    </w:p>
    <w:p>
      <w:pPr>
        <w:pStyle w:val="7"/>
        <w:spacing w:line="520" w:lineRule="exact"/>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个性化设置功能</w:t>
      </w:r>
    </w:p>
    <w:p>
      <w:pPr>
        <w:spacing w:line="520" w:lineRule="exact"/>
        <w:ind w:firstLine="480"/>
        <w:rPr>
          <w:rFonts w:hint="default" w:ascii="Times New Roman" w:hAnsi="Times New Roman" w:cs="Times New Roman"/>
          <w:szCs w:val="24"/>
        </w:rPr>
      </w:pPr>
      <w:r>
        <w:rPr>
          <w:rFonts w:hint="default" w:ascii="Times New Roman" w:hAnsi="Times New Roman" w:cs="Times New Roman"/>
          <w:szCs w:val="24"/>
          <w:lang w:val="en-US"/>
        </w:rPr>
        <w:t>具备</w:t>
      </w:r>
      <w:r>
        <w:rPr>
          <w:rFonts w:hint="default" w:ascii="Times New Roman" w:hAnsi="Times New Roman" w:cs="Times New Roman"/>
          <w:szCs w:val="24"/>
        </w:rPr>
        <w:t>市县根据自身工作需要</w:t>
      </w:r>
      <w:r>
        <w:rPr>
          <w:rFonts w:hint="default" w:ascii="Times New Roman" w:hAnsi="Times New Roman" w:cs="Times New Roman"/>
          <w:szCs w:val="24"/>
          <w:lang w:val="en-US"/>
        </w:rPr>
        <w:t>可进行自定义配置</w:t>
      </w:r>
      <w:r>
        <w:rPr>
          <w:rFonts w:hint="default" w:ascii="Times New Roman" w:hAnsi="Times New Roman" w:cs="Times New Roman"/>
          <w:szCs w:val="24"/>
        </w:rPr>
        <w:t>的功能。</w:t>
      </w:r>
    </w:p>
    <w:p>
      <w:pPr>
        <w:pStyle w:val="7"/>
        <w:spacing w:line="520" w:lineRule="exact"/>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预算联网监督成果展示模块</w:t>
      </w:r>
    </w:p>
    <w:p>
      <w:pPr>
        <w:ind w:left="3" w:firstLine="480"/>
        <w:rPr>
          <w:rFonts w:hint="default" w:ascii="Times New Roman" w:hAnsi="Times New Roman" w:cs="Times New Roman"/>
          <w:szCs w:val="24"/>
        </w:rPr>
      </w:pPr>
      <w:r>
        <w:rPr>
          <w:rFonts w:hint="default" w:ascii="Times New Roman" w:hAnsi="Times New Roman" w:cs="Times New Roman"/>
          <w:szCs w:val="24"/>
        </w:rPr>
        <w:t>对市县两级人大联网监督系统使用情况，包括系统登录次数、各功能模块使用频次、数据更新情况、预警处置情况、运用系统开展工作协同情况、服务代表情况、服务各工委开展专题调研、服务执法检查情况进行综合分析，并将监督成果展示在大屏幕上。</w:t>
      </w:r>
    </w:p>
    <w:bookmarkEnd w:id="5"/>
    <w:bookmarkEnd w:id="6"/>
    <w:bookmarkEnd w:id="62"/>
    <w:bookmarkEnd w:id="63"/>
    <w:bookmarkEnd w:id="64"/>
    <w:bookmarkEnd w:id="65"/>
    <w:p>
      <w:pPr>
        <w:pStyle w:val="5"/>
        <w:spacing w:line="520" w:lineRule="exact"/>
        <w:ind w:hanging="94"/>
        <w:rPr>
          <w:rFonts w:hint="default" w:ascii="Times New Roman" w:hAnsi="Times New Roman" w:eastAsia="宋体" w:cs="Times New Roman"/>
          <w:sz w:val="24"/>
          <w:szCs w:val="24"/>
          <w:lang w:val="zh-CN"/>
        </w:rPr>
      </w:pPr>
      <w:bookmarkStart w:id="70" w:name="_Toc32194"/>
      <w:bookmarkStart w:id="71" w:name="_Toc51621957"/>
      <w:bookmarkStart w:id="72" w:name="_Toc21035"/>
      <w:bookmarkStart w:id="73" w:name="_Toc20147483"/>
      <w:bookmarkStart w:id="74" w:name="_Toc445410121"/>
      <w:bookmarkStart w:id="75" w:name="_Toc28156"/>
      <w:bookmarkStart w:id="76" w:name="_Toc32391"/>
      <w:bookmarkStart w:id="77" w:name="_Toc25321"/>
      <w:bookmarkStart w:id="78" w:name="_Toc1802"/>
      <w:r>
        <w:rPr>
          <w:rFonts w:hint="default" w:ascii="Times New Roman" w:hAnsi="Times New Roman" w:eastAsia="宋体" w:cs="Times New Roman"/>
          <w:sz w:val="24"/>
          <w:szCs w:val="24"/>
          <w:lang w:val="zh-CN"/>
        </w:rPr>
        <w:t>系统部署</w:t>
      </w:r>
      <w:bookmarkEnd w:id="70"/>
      <w:bookmarkEnd w:id="71"/>
      <w:bookmarkEnd w:id="72"/>
      <w:bookmarkEnd w:id="73"/>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人大预算联网监督系统建设充分考虑实现上下级数据交换的需求。对上下级数据交换路径进行统一，提升上下级数据交换的规范性和安全性，实现市、县（区）间纵向数据贯通的双通道，具体设计是：</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市级统一部署，区县级接入应用，充分利用市政府现有资源，使用政务云大数据平台资源部署在政务外网运行，与数字经济局合作连接和维护事项，按照统一信息化建设规范、统一的数据交换规范建设。</w:t>
      </w:r>
      <w:bookmarkEnd w:id="74"/>
    </w:p>
    <w:p>
      <w:pPr>
        <w:pStyle w:val="5"/>
        <w:spacing w:line="520" w:lineRule="exact"/>
        <w:ind w:hanging="94"/>
        <w:rPr>
          <w:rFonts w:hint="default" w:ascii="Times New Roman" w:hAnsi="Times New Roman" w:eastAsia="宋体" w:cs="Times New Roman"/>
          <w:sz w:val="24"/>
          <w:szCs w:val="24"/>
          <w:lang w:val="zh-CN"/>
        </w:rPr>
      </w:pPr>
      <w:bookmarkStart w:id="79" w:name="_Toc30662"/>
      <w:bookmarkStart w:id="80" w:name="_Toc17614"/>
      <w:bookmarkStart w:id="81" w:name="_Toc51621958"/>
      <w:r>
        <w:rPr>
          <w:rFonts w:hint="default" w:ascii="Times New Roman" w:hAnsi="Times New Roman" w:eastAsia="宋体" w:cs="Times New Roman"/>
          <w:sz w:val="24"/>
          <w:szCs w:val="24"/>
          <w:lang w:val="zh-CN"/>
        </w:rPr>
        <w:t>安全设计</w:t>
      </w:r>
      <w:bookmarkEnd w:id="79"/>
      <w:bookmarkEnd w:id="80"/>
      <w:bookmarkEnd w:id="81"/>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（1）支持单点登陆、统一身份认证、安全通信等应用功能，保证计算机应用系统的安全性、保密性、完整性和抗抵赖性。</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（2）提供专用的登录控制模块，具备身份标识和鉴别功能，支持基于用户名/口令和数字证书等多种身份鉴别方式。</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（3）提供用户身份标识唯一性检查、用户身份鉴别信息复杂度检查以及登录失败处理等功能，可采取结束会话、限制非法登录次数和自动退出等措施。</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4）具备访问控制功能。可依据安全策略区分并控制用户对文件、数据库表等客体的访问、操作权限；应由授权主体配置访问控制策略，并严格限制默认账户的访问权限；应授予不同账户为完成各自承担任务所需的最小权限。根据工作需要灵活设置部分专业小组代表、各专委会部分代表、预算委委员（经济委委员）对系统的访问权限。</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5）具备安全审计功能。提供覆盖到每个用户的安全审计功能，对应用系统重要安全事件进行审计。保证无法单独中断审计进程，无法删除、修改或覆盖审计记录；审计记录的内容至少应包括事件的日期、时间、发起者信息、类型、描述和结果等；提供对审计记录数据进行统计、查询、分析及生成审计报表的功能。</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 xml:space="preserve">（6）提供数据有效性检验功能。 </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（7）提供系统资源控制功能。能够对系统的最大并发连接数进行限制；能够对单个账户的多重并发会话进行限制。</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（8）按照系统管理员、安全员管理、审计管理员的“三员”分立、分级方式对系统的操作权限进行统一管理，保证系统和数据资源操作的安全性。</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（9）保证软件中不包含恶意代码或者后门。</w:t>
      </w:r>
    </w:p>
    <w:p>
      <w:pPr>
        <w:spacing w:line="520" w:lineRule="exact"/>
        <w:ind w:firstLine="480"/>
        <w:jc w:val="left"/>
        <w:rPr>
          <w:rFonts w:hint="default" w:ascii="Times New Roman" w:hAnsi="Times New Roman" w:cs="Times New Roman"/>
          <w:szCs w:val="24"/>
        </w:rPr>
      </w:pPr>
      <w:r>
        <w:rPr>
          <w:rFonts w:hint="default" w:ascii="Times New Roman" w:hAnsi="Times New Roman" w:cs="Times New Roman"/>
          <w:szCs w:val="24"/>
        </w:rPr>
        <w:t>（10）本项目按照《信息安全技术网络安全等级保护基本要求》（GB/T 22239-2019）等保 2.0 第三级安全要求建设。</w:t>
      </w:r>
    </w:p>
    <w:p>
      <w:pPr>
        <w:pStyle w:val="5"/>
        <w:spacing w:line="520" w:lineRule="exact"/>
        <w:ind w:hanging="94"/>
        <w:rPr>
          <w:rFonts w:hint="default" w:ascii="Times New Roman" w:hAnsi="Times New Roman" w:eastAsia="宋体" w:cs="Times New Roman"/>
          <w:sz w:val="24"/>
          <w:szCs w:val="24"/>
          <w:lang w:val="zh-CN"/>
        </w:rPr>
      </w:pPr>
      <w:bookmarkStart w:id="82" w:name="_Toc1827"/>
      <w:r>
        <w:rPr>
          <w:rFonts w:hint="default" w:ascii="Times New Roman" w:hAnsi="Times New Roman" w:eastAsia="宋体" w:cs="Times New Roman"/>
          <w:sz w:val="24"/>
          <w:szCs w:val="24"/>
          <w:lang w:val="zh-CN"/>
        </w:rPr>
        <w:t>国产化</w:t>
      </w:r>
      <w:bookmarkEnd w:id="82"/>
      <w:r>
        <w:rPr>
          <w:rFonts w:hint="default" w:ascii="Times New Roman" w:hAnsi="Times New Roman" w:eastAsia="宋体" w:cs="Times New Roman"/>
          <w:sz w:val="24"/>
          <w:szCs w:val="24"/>
          <w:lang w:val="zh-CN"/>
        </w:rPr>
        <w:t>要求</w:t>
      </w:r>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按照国家对信创的要求，本项目需要实现基础软硬件环境、系统软件、安全产品的安全可靠。要求在信创平台环境下完成系统的建设开发，与国产化服务器、操作系统、数据库系统等进行适配，同时实现终端适配，使系统对国产化基础环境、国产化浏览器等具有较好的兼容性，保证系统服务端在国产服务器上的正常运行，并能与客户端浏览器正常通信。</w:t>
      </w:r>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（1）服务器适配。系统能适配各类国产化服务器，包括基于鲲鹏、ARM等不同类型的处理器的国产服务器，能够满足配信创云虚拟机环境。</w:t>
      </w:r>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（2）操作系统适配。系统要能适配国产化操作系统，包括中标麒麟等操作系统，满足在国产化操作系统环境上的部署运行。</w:t>
      </w:r>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（3）中间件适配。系统要能适配国产中间件，满足在国产化中间件的部署运行。</w:t>
      </w:r>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（4）数据库适配。系统要能适配国产化数据库，包括人大金仓、达梦等数据库，满足在国产化数据库环境上的部署运行。</w:t>
      </w:r>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（5）自主可控。采用开放式设计，技术平台、数据平台、应用平台等可根据业务需要持续进行拓展，实现基础设施自主可控、底层软件自主可控、安全产品自主可控。</w:t>
      </w:r>
    </w:p>
    <w:p>
      <w:pPr>
        <w:pStyle w:val="5"/>
        <w:spacing w:line="520" w:lineRule="exact"/>
        <w:ind w:hanging="94"/>
        <w:rPr>
          <w:rFonts w:hint="default" w:ascii="Times New Roman" w:hAnsi="Times New Roman" w:eastAsia="宋体" w:cs="Times New Roman"/>
          <w:sz w:val="24"/>
          <w:szCs w:val="24"/>
          <w:lang w:val="zh-CN"/>
        </w:rPr>
      </w:pPr>
      <w:bookmarkStart w:id="83" w:name="_Toc31987"/>
      <w:bookmarkStart w:id="84" w:name="_Toc16026"/>
      <w:bookmarkStart w:id="85" w:name="_Toc11972"/>
      <w:bookmarkStart w:id="86" w:name="_Toc183"/>
      <w:bookmarkStart w:id="87" w:name="_Toc22946"/>
      <w:r>
        <w:rPr>
          <w:rFonts w:hint="default" w:ascii="Times New Roman" w:hAnsi="Times New Roman" w:eastAsia="宋体" w:cs="Times New Roman"/>
          <w:sz w:val="24"/>
          <w:szCs w:val="24"/>
          <w:lang w:val="zh-CN"/>
        </w:rPr>
        <w:t>保密及知识产权要求</w:t>
      </w:r>
      <w:bookmarkEnd w:id="83"/>
      <w:bookmarkEnd w:id="84"/>
      <w:bookmarkEnd w:id="85"/>
      <w:bookmarkEnd w:id="86"/>
      <w:bookmarkEnd w:id="87"/>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1）安全保密要求。供应商在本项目中有关的业务信息均为保密内容。供应商须建立规范的保密制度，采取一切必要的技术手段和措施，确保保密内容安全。由于供应商及其工作人员泄露、冒用、误用或违法使用数据而造成的一切责任和损失，均由供应商承担。保密内容不得泄露，且保密责任不因合同的中止或解除而失效。供应商须向业主提供《服务承诺书》，保证上述行为规范的严格执行，并签订《保密协议》。</w:t>
      </w:r>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2）知识产权要求。供应商须提供正版的货物及服务，以确保业主免受第三方提出侵犯其专利权或其它知识产权的起诉。如果第三方提出侵权指控，供应商应承担由此而引起的一切法律责任和费用。在本合同项目中，供应商根据用户的需求订制开发的软件及其知识产权归甲方所有，著作权归甲乙双方共有。</w:t>
      </w:r>
    </w:p>
    <w:p>
      <w:pPr>
        <w:pStyle w:val="5"/>
        <w:spacing w:line="520" w:lineRule="exact"/>
        <w:ind w:hanging="94"/>
        <w:rPr>
          <w:rFonts w:hint="default" w:ascii="Times New Roman" w:hAnsi="Times New Roman" w:eastAsia="宋体" w:cs="Times New Roman"/>
          <w:sz w:val="24"/>
          <w:szCs w:val="24"/>
          <w:lang w:val="zh-CN"/>
        </w:rPr>
      </w:pPr>
      <w:bookmarkStart w:id="88" w:name="_Toc5214"/>
      <w:r>
        <w:rPr>
          <w:rFonts w:hint="default" w:ascii="Times New Roman" w:hAnsi="Times New Roman" w:eastAsia="宋体" w:cs="Times New Roman"/>
          <w:sz w:val="24"/>
          <w:szCs w:val="24"/>
          <w:lang w:val="zh-CN"/>
        </w:rPr>
        <w:t>项目培训</w:t>
      </w:r>
      <w:bookmarkEnd w:id="88"/>
    </w:p>
    <w:p>
      <w:pPr>
        <w:pStyle w:val="15"/>
        <w:spacing w:after="156" w:afterLines="50" w:line="520" w:lineRule="exact"/>
        <w:ind w:firstLine="480"/>
        <w:rPr>
          <w:rFonts w:hint="default" w:ascii="Times New Roman" w:hAnsi="Times New Roman" w:cs="Times New Roman"/>
          <w:szCs w:val="24"/>
        </w:rPr>
      </w:pPr>
      <w:r>
        <w:rPr>
          <w:rFonts w:hint="default" w:ascii="Times New Roman" w:hAnsi="Times New Roman" w:cs="Times New Roman"/>
          <w:szCs w:val="24"/>
        </w:rPr>
        <w:t>供应商根据本次系统建设制定的目标和范围，提出相应的培训内容及计划，并提供1-2次全市范围系统应用人员的使用培训，确保所有业务和技术人员对系统能够正常、有效地使用和熟练操作。</w:t>
      </w:r>
    </w:p>
    <w:p>
      <w:pPr>
        <w:pStyle w:val="5"/>
        <w:spacing w:line="520" w:lineRule="exact"/>
        <w:ind w:hanging="94"/>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zh-CN"/>
        </w:rPr>
        <w:t>运</w:t>
      </w:r>
      <w:bookmarkEnd w:id="75"/>
      <w:bookmarkEnd w:id="76"/>
      <w:bookmarkEnd w:id="77"/>
      <w:bookmarkStart w:id="89" w:name="_Toc29781"/>
      <w:bookmarkStart w:id="90" w:name="_Toc14045"/>
      <w:bookmarkStart w:id="91" w:name="_Toc22657"/>
      <w:r>
        <w:rPr>
          <w:rFonts w:hint="default" w:ascii="Times New Roman" w:hAnsi="Times New Roman" w:eastAsia="宋体" w:cs="Times New Roman"/>
          <w:sz w:val="24"/>
          <w:szCs w:val="24"/>
          <w:lang w:val="en-US" w:eastAsia="zh-CN"/>
        </w:rPr>
        <w:t>行维保</w:t>
      </w:r>
    </w:p>
    <w:bookmarkEnd w:id="89"/>
    <w:bookmarkEnd w:id="90"/>
    <w:bookmarkEnd w:id="91"/>
    <w:p>
      <w:pPr>
        <w:spacing w:line="520" w:lineRule="exact"/>
        <w:ind w:firstLine="480"/>
        <w:rPr>
          <w:rFonts w:hint="default" w:ascii="Times New Roman" w:hAnsi="Times New Roman" w:cs="Times New Roman"/>
        </w:rPr>
      </w:pPr>
      <w:r>
        <w:rPr>
          <w:rFonts w:hint="default" w:ascii="Times New Roman" w:hAnsi="Times New Roman" w:cs="Times New Roman"/>
          <w:szCs w:val="24"/>
        </w:rPr>
        <w:t>供应商需提供3人及以上</w:t>
      </w:r>
      <w:r>
        <w:rPr>
          <w:rFonts w:hint="default" w:ascii="Times New Roman" w:hAnsi="Times New Roman" w:cs="Times New Roman"/>
          <w:szCs w:val="24"/>
          <w:lang w:val="en-US" w:eastAsia="zh-CN"/>
        </w:rPr>
        <w:t>常年</w:t>
      </w:r>
      <w:r>
        <w:rPr>
          <w:rFonts w:hint="default" w:ascii="Times New Roman" w:hAnsi="Times New Roman" w:cs="Times New Roman"/>
          <w:szCs w:val="24"/>
        </w:rPr>
        <w:t>驻场软硬件技术运</w:t>
      </w:r>
      <w:r>
        <w:rPr>
          <w:rFonts w:hint="default" w:ascii="Times New Roman" w:hAnsi="Times New Roman" w:cs="Times New Roman"/>
          <w:szCs w:val="24"/>
          <w:lang w:val="en-US" w:eastAsia="zh-CN"/>
        </w:rPr>
        <w:t>行维保</w:t>
      </w:r>
      <w:r>
        <w:rPr>
          <w:rFonts w:hint="default" w:ascii="Times New Roman" w:hAnsi="Times New Roman" w:cs="Times New Roman"/>
          <w:szCs w:val="24"/>
        </w:rPr>
        <w:t>，加强运</w:t>
      </w:r>
      <w:r>
        <w:rPr>
          <w:rFonts w:hint="default" w:ascii="Times New Roman" w:hAnsi="Times New Roman" w:cs="Times New Roman"/>
          <w:szCs w:val="24"/>
          <w:lang w:val="en-US" w:eastAsia="zh-CN"/>
        </w:rPr>
        <w:t>行维保</w:t>
      </w:r>
      <w:r>
        <w:rPr>
          <w:rFonts w:hint="default" w:ascii="Times New Roman" w:hAnsi="Times New Roman" w:cs="Times New Roman"/>
          <w:szCs w:val="24"/>
        </w:rPr>
        <w:t>管控。以技术运维为中心，保障系统稳定运行，定期巡检和维护、保障数据完整性、准确性、及时性、有效性。以业务服务为中心，提供业务咨询服务，适时调整和完善系统，满足人大业务需求。</w:t>
      </w:r>
    </w:p>
    <w:p>
      <w:pPr>
        <w:pStyle w:val="5"/>
        <w:numPr>
          <w:ilvl w:val="0"/>
          <w:numId w:val="0"/>
        </w:numPr>
        <w:spacing w:line="520" w:lineRule="exact"/>
        <w:ind w:left="574"/>
        <w:rPr>
          <w:rFonts w:hint="default" w:ascii="Times New Roman" w:hAnsi="Times New Roman" w:cs="Times New Roman"/>
          <w:sz w:val="24"/>
          <w:szCs w:val="24"/>
        </w:rPr>
      </w:pPr>
      <w:r>
        <w:rPr>
          <w:rFonts w:hint="default" w:ascii="Times New Roman" w:hAnsi="Times New Roman" w:cs="Times New Roman"/>
          <w:sz w:val="24"/>
          <w:szCs w:val="24"/>
        </w:rPr>
        <w:t>二、硬件及相关设备</w:t>
      </w:r>
    </w:p>
    <w:p>
      <w:pPr>
        <w:pStyle w:val="5"/>
        <w:numPr>
          <w:ilvl w:val="0"/>
          <w:numId w:val="0"/>
        </w:numPr>
        <w:spacing w:line="520" w:lineRule="exact"/>
        <w:ind w:left="4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1.国产无纸化会议系统    11</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台</w:t>
      </w:r>
    </w:p>
    <w:p>
      <w:pPr>
        <w:pStyle w:val="2"/>
        <w:numPr>
          <w:ilvl w:val="0"/>
          <w:numId w:val="2"/>
        </w:numPr>
        <w:ind w:firstLineChars="0"/>
        <w:rPr>
          <w:rFonts w:hint="default" w:ascii="Times New Roman" w:hAnsi="Times New Roman" w:cs="Times New Roman"/>
          <w:szCs w:val="24"/>
        </w:rPr>
      </w:pPr>
      <w:r>
        <w:rPr>
          <w:rFonts w:hint="default" w:ascii="Times New Roman" w:hAnsi="Times New Roman" w:cs="Times New Roman"/>
          <w:szCs w:val="24"/>
        </w:rPr>
        <w:t>显示屏尺寸：15.6英寸，十点电容触控屏，分辨率：1920*1080P；</w:t>
      </w:r>
    </w:p>
    <w:p>
      <w:pPr>
        <w:pStyle w:val="2"/>
        <w:numPr>
          <w:ilvl w:val="0"/>
          <w:numId w:val="2"/>
        </w:numPr>
        <w:ind w:firstLineChars="0"/>
        <w:rPr>
          <w:rFonts w:hint="default" w:ascii="Times New Roman" w:hAnsi="Times New Roman" w:cs="Times New Roman"/>
          <w:szCs w:val="24"/>
        </w:rPr>
      </w:pPr>
      <w:r>
        <w:rPr>
          <w:rFonts w:hint="default" w:ascii="Times New Roman" w:hAnsi="Times New Roman" w:cs="Times New Roman"/>
          <w:szCs w:val="24"/>
        </w:rPr>
        <w:t>设备采用全铝结构,设备整体轻便、色泽光亮，颜色可选；</w:t>
      </w:r>
    </w:p>
    <w:p>
      <w:pPr>
        <w:pStyle w:val="2"/>
        <w:numPr>
          <w:ilvl w:val="0"/>
          <w:numId w:val="2"/>
        </w:numPr>
        <w:ind w:firstLineChars="0"/>
        <w:rPr>
          <w:rFonts w:hint="default" w:ascii="Times New Roman" w:hAnsi="Times New Roman" w:cs="Times New Roman"/>
          <w:szCs w:val="24"/>
        </w:rPr>
      </w:pPr>
      <w:r>
        <w:rPr>
          <w:rFonts w:hint="default" w:ascii="Times New Roman" w:hAnsi="Times New Roman" w:cs="Times New Roman"/>
          <w:szCs w:val="24"/>
        </w:rPr>
        <w:t>升降器面板尺寸不大于：430mm（长）*70mm（宽）*3mm（厚）占用空间小；</w:t>
      </w:r>
    </w:p>
    <w:p>
      <w:pPr>
        <w:pStyle w:val="2"/>
        <w:numPr>
          <w:ilvl w:val="0"/>
          <w:numId w:val="2"/>
        </w:numPr>
        <w:ind w:firstLineChars="0"/>
        <w:rPr>
          <w:rFonts w:hint="default" w:ascii="Times New Roman" w:hAnsi="Times New Roman" w:cs="Times New Roman"/>
          <w:szCs w:val="24"/>
        </w:rPr>
      </w:pPr>
      <w:r>
        <w:rPr>
          <w:rFonts w:hint="default" w:ascii="Times New Roman" w:hAnsi="Times New Roman" w:cs="Times New Roman"/>
          <w:szCs w:val="24"/>
        </w:rPr>
        <w:t>传动结构做特殊处理，噪音降到最低，内部结构采用防水方式处理，一般的会议茶水渗漏不会影响机器的使用；</w:t>
      </w:r>
    </w:p>
    <w:p>
      <w:pPr>
        <w:pStyle w:val="2"/>
        <w:numPr>
          <w:ilvl w:val="0"/>
          <w:numId w:val="2"/>
        </w:numPr>
        <w:ind w:firstLineChars="0"/>
        <w:rPr>
          <w:rFonts w:hint="default" w:ascii="Times New Roman" w:hAnsi="Times New Roman" w:cs="Times New Roman"/>
          <w:szCs w:val="24"/>
        </w:rPr>
      </w:pPr>
      <w:r>
        <w:rPr>
          <w:rFonts w:hint="default" w:ascii="Times New Roman" w:hAnsi="Times New Roman" w:cs="Times New Roman"/>
          <w:szCs w:val="24"/>
        </w:rPr>
        <w:t>在上升后，屏幕自动供电，下降后，屏幕自行断电，具备2个电源接口，电源连接方式为串联无需外用插座，方便连接，具有2*RJ45控制口；</w:t>
      </w:r>
    </w:p>
    <w:p>
      <w:pPr>
        <w:pStyle w:val="2"/>
        <w:numPr>
          <w:ilvl w:val="0"/>
          <w:numId w:val="2"/>
        </w:numPr>
        <w:ind w:firstLineChars="0"/>
        <w:rPr>
          <w:rFonts w:hint="default" w:ascii="Times New Roman" w:hAnsi="Times New Roman" w:cs="Times New Roman"/>
          <w:szCs w:val="24"/>
        </w:rPr>
      </w:pPr>
      <w:r>
        <w:rPr>
          <w:rFonts w:hint="default" w:ascii="Times New Roman" w:hAnsi="Times New Roman" w:cs="Times New Roman"/>
          <w:szCs w:val="24"/>
        </w:rPr>
        <w:t>支持HDMI和VGA两路信号输入，可通过面板按键手动切换，当无信号输入时，屏幕自动进入省电模式；</w:t>
      </w:r>
      <w:r>
        <w:rPr>
          <w:rFonts w:hint="default" w:ascii="Times New Roman" w:hAnsi="Times New Roman" w:cs="Times New Roman"/>
          <w:szCs w:val="24"/>
        </w:rPr>
        <w:tab/>
      </w:r>
    </w:p>
    <w:p>
      <w:pPr>
        <w:pStyle w:val="5"/>
        <w:numPr>
          <w:ilvl w:val="0"/>
          <w:numId w:val="0"/>
        </w:numPr>
        <w:spacing w:line="520" w:lineRule="exact"/>
        <w:ind w:left="57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.国产无纸化PC终端（内嵌国产操作系统和国产无纸化终端及授权软件V4.0）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台</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CPU：兆芯KX-U6580@2.5G八核心八线程处理器</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内存：8GB(DDR4)</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硬盘容量：128GSSD固态硬盘</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网卡：1×千兆网卡，RJ45接口</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视频输出接口：1×HDMI、1×VGA(支持1920x1080分辨率)</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音频接口：1×MIC-IN端口、1×LINE-OUT端口</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标准接口：4×3.0USB,2×2.0USB、1×DC端口、1×COM口；1×内置电源开关（USB接口）</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操作系统：预装国产操作系统（银河麒麟）</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国产无纸化终端软件功能：</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使用纯国产无纸化部署，支持中标麒麟、银河麒麟等系统安装，拒绝Intel等国外硬件品牌及window等国外软件部署，达到高度保密性；</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支持快速进入会议交流模块、会议材料、未读消息提示、等其他自定义功能；</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文字材料支持原笔迹批注，常用文件格式Pdf、Word支持全文批注，批注文件自动上传致服务器原笔迹保存，参会人员之间可相互查看其他人的批注内容；</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支持图片材料手势移动、缩放、旋转、翻页；视频资料可点击播放；</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支持多样式投票表决，投票可分为勾选方式和打分方式，参会人根据后台实际录入的进行进行投票，投票结果支持同步显示到各个终端，及投屏到大屏幕展示出来，所有投屏结果统计到后台自动整理分析；</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支持音视频会议文件投影申请到投影机或大屏幕与投影申请端同步显示；</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支持参会人员可申请同屏广播将自己的屏幕上的任意内容分享给其他的参会人，并支持外接U盘中音视频文件同屏给其他参会人，同屏端延时控制在毫秒以内，所有接收端音视频完全同步；</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在会议进行的过程中参会人之间可以进行点对点的文字、语音、文件等互动，并可选择一点对一点，一点对多点和群发。语言信息发布在会议终端桌面，只有对应的参会人使用蓝牙耳机才可以收听。文字和文件在会议终端打开查看；．支持将直播视频窗口的实时视频任意拖动、放大、缩小、全屏，并可再次扔到原始窗口内.支持云摄像头联机将远端视频会议图像接入会场，支持外接电脑或笔记本HDMI信号到无纸化终端屏幕；</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支持终端在电子白板进行批注,使用橡皮擦/铅笔,清空白板,保存白板界面等功能；</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支持会中u盘导入资料并分享给其他参会人观看,也可下载其他参会人分享的文件；</w:t>
      </w:r>
    </w:p>
    <w:p>
      <w:pPr>
        <w:pStyle w:val="2"/>
        <w:numPr>
          <w:ilvl w:val="0"/>
          <w:numId w:val="3"/>
        </w:numPr>
        <w:ind w:firstLineChars="0"/>
        <w:rPr>
          <w:rFonts w:hint="default" w:ascii="Times New Roman" w:hAnsi="Times New Roman" w:cs="Times New Roman"/>
          <w:szCs w:val="24"/>
        </w:rPr>
      </w:pPr>
      <w:r>
        <w:rPr>
          <w:rFonts w:hint="default" w:ascii="Times New Roman" w:hAnsi="Times New Roman" w:cs="Times New Roman"/>
          <w:szCs w:val="24"/>
        </w:rPr>
        <w:t>支持悬浮球：内悬浮球，可随意拖动悬浮球的显示位置，悬浮窗里面有返回、批注、呼叫服务、投影、结束投影、发起同屏、加入同屏、结束同屏功等功能。</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.国产无纸化服务器（内嵌国产服务器操作系统和国产无纸化软件V4.0）</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CPU：兆芯KX-25800八核八线程@1.8GHz</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内存：32GB(DDR4)</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硬盘容量：512G SSD固态硬盘</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网卡：1×千兆网卡，RJ45接口</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网卡：5×千兆网络接口（1个RJ45管理口+4个RJ45业务口）</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视频输出接口：1×VGA</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前置2×USB2.0；后置2×USB2.0  2×USB3.0</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操作系统：预装国产操作系统（银河麒麟高级服务器操作系统）</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国产无纸化服务器软件功能：</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使用纯国产无纸化部署，支持中标麒麟、银河麒麟等系统安装，达到高度保密性；</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支持安全与保密：操作系统密码作为第一级安全防护。会议开始时参会人员输入密码、手写签名后进入系统召开会议；</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支持部门管理，可增加多个部门，参会人员上传，资料归属等可根据部门选择上传；</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申请会议支持设置保密会议、免签登录、设置会议是否自动开始、设置会议简介等；</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支持保密会议，会议申请时，可以选择勾选为保密会议，保密会议下，会议结束后自动清除客户端及后台本会议所有会议数据，不留任何痕迹。达到会议高保密高安全性的目的。</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支持会议审批，系统管理员账号可以对其他账号申请的会议进行审批，审批通过此会议才能正常开启；</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支持设置每个参会人员的签到权限、议题权限以及资料文件浏览权限等，可以开放/禁止某个参会人员浏览某些资料；</w:t>
      </w:r>
    </w:p>
    <w:p>
      <w:pPr>
        <w:pStyle w:val="2"/>
        <w:numPr>
          <w:ilvl w:val="0"/>
          <w:numId w:val="4"/>
        </w:numPr>
        <w:ind w:firstLineChars="0"/>
        <w:rPr>
          <w:rFonts w:hint="default" w:ascii="Times New Roman" w:hAnsi="Times New Roman" w:cs="Times New Roman"/>
          <w:szCs w:val="24"/>
        </w:rPr>
      </w:pPr>
      <w:r>
        <w:rPr>
          <w:rFonts w:hint="default" w:ascii="Times New Roman" w:hAnsi="Times New Roman" w:cs="Times New Roman"/>
          <w:szCs w:val="24"/>
        </w:rPr>
        <w:t>支持会后统计，可分别统计各个会议的签到、投票、批注情况、用户资料分析情况。</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.流媒体终端</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具备与无纸化系统的无缝结合功能；</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编码器输入时可以最佳分辨率从本地视音频输出接口环通输出；</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具有本地操作UI，可直接通过鼠标进行配置；</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持多台解码器联合使用，支持小型3x3拼接上墙；</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要求传输低延时，延时小于200ms；</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一体集成设计，支持1路VGA和HDMI输入，1路VGA和HDMI输出；</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采用H.264编解码，最大支持1080p/50fps编码；</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多路双声道音频输入和输出，支持AAC高音质编码；</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支持多种网络协议：TCP/IP、RTSP、UDP、支持IP协议的单播、组播传输方式；</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支持Onvif协议和CMI协议；可接入安防NVR；</w:t>
      </w:r>
    </w:p>
    <w:p>
      <w:pPr>
        <w:pStyle w:val="2"/>
        <w:numPr>
          <w:ilvl w:val="0"/>
          <w:numId w:val="5"/>
        </w:numPr>
        <w:ind w:firstLineChars="0"/>
        <w:rPr>
          <w:rFonts w:hint="default" w:ascii="Times New Roman" w:hAnsi="Times New Roman" w:cs="Times New Roman"/>
          <w:szCs w:val="24"/>
        </w:rPr>
      </w:pPr>
      <w:r>
        <w:rPr>
          <w:rFonts w:hint="default" w:ascii="Times New Roman" w:hAnsi="Times New Roman" w:cs="Times New Roman"/>
          <w:szCs w:val="24"/>
        </w:rPr>
        <w:t>采用人性化GUI，现场可方便对OSD，IP地址，编解码等参数。</w:t>
      </w:r>
      <w:r>
        <w:rPr>
          <w:rFonts w:hint="default" w:ascii="Times New Roman" w:hAnsi="Times New Roman" w:cs="Times New Roman"/>
          <w:szCs w:val="24"/>
        </w:rPr>
        <w:tab/>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.智能会议投影终端</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CPU：兆芯KX-U6580八核心@2.5G八线程@2.5GHz</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内存：8GB(DDR4)</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硬盘容量：128GSSD固态硬盘</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网卡：1×千兆网卡，RJ45接口</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视频输出接口：1×HDMI、1×VGA(支持1920x1080分辨率)</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音频接口：1×MIC-IN端口、1×LINE-OUT端口</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标准接口：4×3.0USB,2×2.0USB、1×DC端口、1×COM口；1×内置电源开关（USB接口）</w:t>
      </w:r>
    </w:p>
    <w:p>
      <w:pPr>
        <w:pStyle w:val="2"/>
        <w:numPr>
          <w:ilvl w:val="0"/>
          <w:numId w:val="6"/>
        </w:numPr>
        <w:ind w:firstLineChars="0"/>
        <w:rPr>
          <w:rFonts w:hint="default" w:ascii="Times New Roman" w:hAnsi="Times New Roman" w:cs="Times New Roman"/>
          <w:szCs w:val="24"/>
        </w:rPr>
      </w:pPr>
      <w:r>
        <w:rPr>
          <w:rFonts w:hint="default" w:ascii="Times New Roman" w:hAnsi="Times New Roman" w:cs="Times New Roman"/>
          <w:szCs w:val="24"/>
        </w:rPr>
        <w:t>内置投屏软件功能；</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.国产数据库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套</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国产自主安全版数据库，具备完全自主知识产权；</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支持Windows、Unix、Linux、AIX、SOLARIS、国产操作系统等操作系统；</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兼容多种硬件体系，可运行于X86、SPARC、POWER、龙芯、申威、飞腾等硬件体系之上；</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具备处理大容量数据的能力, 提供数据压缩、大数据量快速加载工具与开发包等海量数据支持；</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具备高可用性，支持逻辑备份恢复、增量备份联机热备份技术，并且备份文件可以跨windows和linux、32位和64位等不同的操作系统平台；支持不依赖第三方HA故障转移集群和主备同步技术；</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具备高可扩展性。支持基于共享存储的对等式负载均衡集群，提供不少于15节点共享存储集群国家级测评中心的测试证明；</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具备高安全性，达到信息技术产品安全分级评估保证级4增强级EAL4+；</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具备高性能。支持并行分布式集群（MPP）、列存储、批量计算、并行计算；提供基于成本的全局优化功能，实现基于成本的查询机制，选择合适的查询计划；支持查询的hint技术，对查询计划进行手动调整；</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产品支持数据库迁移评估，数据库评估平均每分钟可以处理13000个以上数据库对象，平均每分钟可以处理170000行以上代码，支持表数据快速恢复功能，单节点恢复平均速度达到300MB/秒以上；</w:t>
      </w:r>
    </w:p>
    <w:p>
      <w:pPr>
        <w:pStyle w:val="2"/>
        <w:numPr>
          <w:ilvl w:val="0"/>
          <w:numId w:val="7"/>
        </w:numPr>
        <w:ind w:firstLineChars="0"/>
        <w:rPr>
          <w:rFonts w:hint="default" w:ascii="Times New Roman" w:hAnsi="Times New Roman" w:cs="Times New Roman"/>
          <w:szCs w:val="24"/>
        </w:rPr>
      </w:pPr>
      <w:r>
        <w:rPr>
          <w:rFonts w:hint="default" w:ascii="Times New Roman" w:hAnsi="Times New Roman" w:cs="Times New Roman"/>
          <w:szCs w:val="24"/>
        </w:rPr>
        <w:t>基于标准性能测试，在3000个仓库下，系统事务平均吞吐量能超过150万tpmC，支持多线程并发数据导入导出，数据平均导入速率不小于2000000条/秒，数据平均导入速度不小于280MB/秒，数据平均导出速度不少于90MB/秒。</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.国产中间件</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套</w:t>
      </w:r>
    </w:p>
    <w:p>
      <w:pPr>
        <w:pStyle w:val="2"/>
        <w:numPr>
          <w:ilvl w:val="0"/>
          <w:numId w:val="8"/>
        </w:numPr>
        <w:ind w:firstLineChars="0"/>
        <w:rPr>
          <w:rFonts w:hint="default" w:ascii="Times New Roman" w:hAnsi="Times New Roman" w:cs="Times New Roman"/>
          <w:szCs w:val="24"/>
        </w:rPr>
      </w:pPr>
      <w:r>
        <w:rPr>
          <w:rFonts w:hint="default" w:ascii="Times New Roman" w:hAnsi="Times New Roman" w:cs="Times New Roman"/>
          <w:szCs w:val="24"/>
        </w:rPr>
        <w:t>在《安可替代工程适配产品清单-涉密专用产品-1-2020》中；</w:t>
      </w:r>
    </w:p>
    <w:p>
      <w:pPr>
        <w:pStyle w:val="2"/>
        <w:numPr>
          <w:ilvl w:val="0"/>
          <w:numId w:val="8"/>
        </w:numPr>
        <w:ind w:firstLineChars="0"/>
        <w:rPr>
          <w:rFonts w:hint="default" w:ascii="Times New Roman" w:hAnsi="Times New Roman" w:cs="Times New Roman"/>
          <w:szCs w:val="24"/>
        </w:rPr>
      </w:pPr>
      <w:r>
        <w:rPr>
          <w:rFonts w:hint="default" w:ascii="Times New Roman" w:hAnsi="Times New Roman" w:cs="Times New Roman"/>
          <w:szCs w:val="24"/>
        </w:rPr>
        <w:t>支持飞腾、鲲鹏和龙芯等主流硬件平台，支持达梦和金仓等主流数据库，支持麒麟等主流操作系统；</w:t>
      </w:r>
    </w:p>
    <w:p>
      <w:pPr>
        <w:pStyle w:val="2"/>
        <w:numPr>
          <w:ilvl w:val="0"/>
          <w:numId w:val="8"/>
        </w:numPr>
        <w:ind w:firstLineChars="0"/>
        <w:rPr>
          <w:rFonts w:hint="default" w:ascii="Times New Roman" w:hAnsi="Times New Roman" w:cs="Times New Roman"/>
          <w:szCs w:val="24"/>
        </w:rPr>
      </w:pPr>
      <w:r>
        <w:rPr>
          <w:rFonts w:hint="default" w:ascii="Times New Roman" w:hAnsi="Times New Roman" w:cs="Times New Roman"/>
          <w:szCs w:val="24"/>
        </w:rPr>
        <w:t>支持在管理控制台页面上配置异步日志，保证日志输出的同时降低对应用系统性能的影响；</w:t>
      </w:r>
    </w:p>
    <w:p>
      <w:pPr>
        <w:pStyle w:val="2"/>
        <w:numPr>
          <w:ilvl w:val="0"/>
          <w:numId w:val="8"/>
        </w:numPr>
        <w:ind w:firstLineChars="0"/>
        <w:rPr>
          <w:rFonts w:hint="default" w:ascii="Times New Roman" w:hAnsi="Times New Roman" w:cs="Times New Roman"/>
          <w:szCs w:val="24"/>
        </w:rPr>
      </w:pPr>
      <w:r>
        <w:rPr>
          <w:rFonts w:hint="default" w:ascii="Times New Roman" w:hAnsi="Times New Roman" w:cs="Times New Roman"/>
          <w:szCs w:val="24"/>
        </w:rPr>
        <w:t>监控服务可以选择监视信息的回放时间段，方便运维人员了解过去某段时间的系统和应用的监控情况；</w:t>
      </w:r>
    </w:p>
    <w:p>
      <w:pPr>
        <w:pStyle w:val="2"/>
        <w:numPr>
          <w:ilvl w:val="0"/>
          <w:numId w:val="8"/>
        </w:numPr>
        <w:ind w:firstLineChars="0"/>
        <w:rPr>
          <w:rFonts w:hint="default" w:ascii="Times New Roman" w:hAnsi="Times New Roman" w:cs="Times New Roman"/>
          <w:szCs w:val="24"/>
        </w:rPr>
      </w:pPr>
      <w:r>
        <w:rPr>
          <w:rFonts w:hint="default" w:ascii="Times New Roman" w:hAnsi="Times New Roman" w:cs="Times New Roman"/>
          <w:szCs w:val="24"/>
        </w:rPr>
        <w:t>提供内置的JMS服务，并支持将TongLINK/Q等第三方消息中间件作为消息服务代理；</w:t>
      </w:r>
    </w:p>
    <w:p>
      <w:pPr>
        <w:pStyle w:val="2"/>
        <w:numPr>
          <w:ilvl w:val="0"/>
          <w:numId w:val="8"/>
        </w:numPr>
        <w:ind w:firstLineChars="0"/>
        <w:rPr>
          <w:rFonts w:hint="default" w:ascii="Times New Roman" w:hAnsi="Times New Roman" w:cs="Times New Roman"/>
          <w:szCs w:val="24"/>
        </w:rPr>
      </w:pPr>
      <w:r>
        <w:rPr>
          <w:rFonts w:hint="default" w:ascii="Times New Roman" w:hAnsi="Times New Roman" w:cs="Times New Roman"/>
          <w:szCs w:val="24"/>
        </w:rPr>
        <w:t>支持集群部署，提供集群管理工具，内置支持国密算法（SM2/3/4）的负载均衡模块。无需第三方HA软件，即可实现负载均衡模块的双机状况监控与备份切换，避免单点故障。</w:t>
      </w:r>
      <w:r>
        <w:rPr>
          <w:rFonts w:hint="default" w:ascii="Times New Roman" w:hAnsi="Times New Roman" w:cs="Times New Roman"/>
          <w:szCs w:val="24"/>
        </w:rPr>
        <w:tab/>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.千兆交换机</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9"/>
        </w:numPr>
        <w:ind w:firstLineChars="0"/>
        <w:rPr>
          <w:rFonts w:hint="default" w:ascii="Times New Roman" w:hAnsi="Times New Roman" w:cs="Times New Roman"/>
          <w:szCs w:val="24"/>
        </w:rPr>
      </w:pPr>
      <w:r>
        <w:rPr>
          <w:rFonts w:hint="default" w:ascii="Times New Roman" w:hAnsi="Times New Roman" w:cs="Times New Roman"/>
          <w:szCs w:val="24"/>
        </w:rPr>
        <w:t>24个10/100/1000Base-T以太网端口，4个1G/2.5G SFP光口；交换容量≥336Gbps/3.36Tbps，包转发率≥108Mpps/126Mpps，支持全端口线速转发；支持NAC统一管理、统一查看状态、VLAN等配置管理；支持终端识别、终端准入、安全防护及安全画像可视；支持胖瘦一体化。</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.国产笔记本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10"/>
        </w:numPr>
        <w:ind w:firstLineChars="0"/>
        <w:rPr>
          <w:rFonts w:hint="default" w:ascii="Times New Roman" w:hAnsi="Times New Roman" w:cs="Times New Roman"/>
          <w:szCs w:val="24"/>
        </w:rPr>
      </w:pPr>
      <w:r>
        <w:rPr>
          <w:rFonts w:hint="default" w:ascii="Times New Roman" w:hAnsi="Times New Roman" w:cs="Times New Roman"/>
          <w:szCs w:val="24"/>
        </w:rPr>
        <w:t>兆芯KX-6640MA/8G/256G/14寸</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国产工作站</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2</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11"/>
        </w:numPr>
        <w:ind w:firstLineChars="0"/>
        <w:rPr>
          <w:rFonts w:hint="default" w:ascii="Times New Roman" w:hAnsi="Times New Roman" w:cs="Times New Roman"/>
          <w:szCs w:val="24"/>
        </w:rPr>
      </w:pPr>
      <w:r>
        <w:rPr>
          <w:rFonts w:hint="default" w:ascii="Times New Roman" w:hAnsi="Times New Roman" w:cs="Times New Roman"/>
          <w:szCs w:val="24"/>
        </w:rPr>
        <w:t>CPU: 1颗 8核 Hygon 3250 2.8GHz;</w:t>
      </w:r>
    </w:p>
    <w:p>
      <w:pPr>
        <w:pStyle w:val="2"/>
        <w:numPr>
          <w:ilvl w:val="0"/>
          <w:numId w:val="11"/>
        </w:numPr>
        <w:ind w:firstLineChars="0"/>
        <w:rPr>
          <w:rFonts w:hint="default" w:ascii="Times New Roman" w:hAnsi="Times New Roman" w:cs="Times New Roman"/>
          <w:szCs w:val="24"/>
        </w:rPr>
      </w:pPr>
      <w:r>
        <w:rPr>
          <w:rFonts w:hint="default" w:ascii="Times New Roman" w:hAnsi="Times New Roman" w:cs="Times New Roman"/>
          <w:szCs w:val="24"/>
        </w:rPr>
        <w:t>内存: 8GB</w:t>
      </w:r>
    </w:p>
    <w:p>
      <w:pPr>
        <w:pStyle w:val="2"/>
        <w:numPr>
          <w:ilvl w:val="0"/>
          <w:numId w:val="11"/>
        </w:numPr>
        <w:ind w:firstLineChars="0"/>
        <w:rPr>
          <w:rFonts w:hint="default" w:ascii="Times New Roman" w:hAnsi="Times New Roman" w:cs="Times New Roman"/>
          <w:szCs w:val="24"/>
        </w:rPr>
      </w:pPr>
      <w:r>
        <w:rPr>
          <w:rFonts w:hint="default" w:ascii="Times New Roman" w:hAnsi="Times New Roman" w:cs="Times New Roman"/>
          <w:szCs w:val="24"/>
        </w:rPr>
        <w:t>硬盘: 256GB SATA SSD，扩展: 最大可支持1TBSSD+2GBHDD硬盘:显卡: 英伟达GT710(2GB独显)，支持扩展: 支持扩展英伟达QuadroRTX4000、英伟达RTX 2080等显卡:电源: 180W单电源，150cm 国标电源线:显示器: 23.8英寸。</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11.国产A3彩色一体机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A3彩色黑白复印、网络打印、自动双面打印、自动双面复印、网络彩色扫描；</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 xml:space="preserve">打印复印速度：黑彩同速：30张/分钟； </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 xml:space="preserve">预热时间小于21秒；首页复印时间：黑色4.5秒，彩色6.9秒； </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扫描速度：黑彩同速80页/分钟，最大扫描分辨率1200dpi；</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打印分辨率为1200*4800dpi；支持1.26米的长纸打印功能；可实现锁定打印、</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保留打印、样张打印等；标配PCL5c、PCL6、PS3打印语言；</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标配USB和SD卡插槽（无需借助外界设备即可实现U盘和SD卡的直接打印/扫描)；</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可扫描至文件夹、电子邮件、服务器和USB/SD卡，支持SMB扫描、高压缩PDF扫描，扫描格式PDF、TIFF、JPEG、高压缩PDF和PDF/A；</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标配4GB内存，320GB硬盘</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标配1200张纸盒，550页*2个纸盒+100页手送，最大可达4700张，纸盘均支持60-300g/m2，双面52-256g/m2；</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标配10.1英寸彩色液晶触摸屏，可自定义个性化的超级屏保，内置安卓系统，支持麒麟、统信UOS操作系统</w:t>
      </w:r>
    </w:p>
    <w:p>
      <w:pPr>
        <w:pStyle w:val="2"/>
        <w:numPr>
          <w:ilvl w:val="0"/>
          <w:numId w:val="12"/>
        </w:numPr>
        <w:ind w:firstLineChars="0"/>
        <w:rPr>
          <w:rFonts w:hint="default" w:ascii="Times New Roman" w:hAnsi="Times New Roman" w:cs="Times New Roman"/>
          <w:szCs w:val="24"/>
        </w:rPr>
      </w:pPr>
      <w:r>
        <w:rPr>
          <w:rFonts w:hint="default" w:ascii="Times New Roman" w:hAnsi="Times New Roman" w:cs="Times New Roman"/>
          <w:szCs w:val="24"/>
        </w:rPr>
        <w:t>标配双面器，双面送稿器；</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12.国产A4彩色一体机</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类型：A4彩色激光复印、打印、扫描多功能一体机</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打印速度：≥26PPM（黑彩同速）</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打印幅面：最大A4</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打印功能：具备网络双面文档打印、图片打印、份数设置、范围设置、页边距设置、缩放打印设置、打印队列管理；</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纸张处理：250页纸盒+50页多功能进纸盘（最厚支持220克/平方米纸张）</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双面翻页：支持自动双面上下翻面，左右翻面</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接口：USB2.0+10-100 Base-T Ethermt有线网络</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处理器：800MHz，内存512M；</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USB打印：U盘打印</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4寸全彩液晶触控屏</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标配平板稿台及双扫描头双面同步输稿器</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监控：PC端状态监控</w:t>
      </w:r>
    </w:p>
    <w:p>
      <w:pPr>
        <w:pStyle w:val="2"/>
        <w:numPr>
          <w:ilvl w:val="0"/>
          <w:numId w:val="13"/>
        </w:numPr>
        <w:ind w:firstLineChars="0"/>
        <w:rPr>
          <w:rFonts w:hint="default" w:ascii="Times New Roman" w:hAnsi="Times New Roman" w:cs="Times New Roman"/>
          <w:szCs w:val="24"/>
        </w:rPr>
      </w:pPr>
      <w:r>
        <w:rPr>
          <w:rFonts w:hint="default" w:ascii="Times New Roman" w:hAnsi="Times New Roman" w:cs="Times New Roman"/>
          <w:szCs w:val="24"/>
        </w:rPr>
        <w:t>支持的操作系统：统信UOS V20，龙芯3A4000/3A5000 、飞腾FT-2000/腾锐D2000 、鲲鹏920/麒麟990 、兆芯ZX-C+C4710/ZX-E KX-6640MA/ZX-E KX-U6780A 、海光C86 3230银河麒麟V10，龙芯3A4000/3A5000 、飞腾FT-1500A/FT-2000/腾锐D2000 、鲲鹏920 、兆芯ZX-C+C4710/ZX-E KX-U6780A 、海光C86 3230/3250、windows系统；、windows XP/7/8/10。</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13.国产A4打印机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类型：A4黑白激光打印机；</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打印速度：≥30PPM</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打印幅面：最大A4</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打印功能：文档打印、图片打印、份数设置、范围设置、页边距设置、缩放打印设置、打印队列管理、自动双面、网络打印、自动分页；</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双面翻页：支持自动双面上下翻面，左右翻面；</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纸张处理：250页纸盒+10页多功能进纸盘（可连续处理特殊纸张）；</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接口：USB2.0+10-100 Base-T Ethermt有线网络；</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处理器：300MHz，内存128M；</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耗材：鼓粉分离，随机标配3000页粉盒；</w:t>
      </w:r>
    </w:p>
    <w:p>
      <w:pPr>
        <w:pStyle w:val="2"/>
        <w:numPr>
          <w:ilvl w:val="0"/>
          <w:numId w:val="14"/>
        </w:numPr>
        <w:ind w:firstLineChars="0"/>
        <w:rPr>
          <w:rFonts w:hint="default" w:ascii="Times New Roman" w:hAnsi="Times New Roman" w:cs="Times New Roman"/>
          <w:szCs w:val="24"/>
        </w:rPr>
      </w:pPr>
      <w:r>
        <w:rPr>
          <w:rFonts w:hint="default" w:ascii="Times New Roman" w:hAnsi="Times New Roman" w:cs="Times New Roman"/>
          <w:szCs w:val="24"/>
        </w:rPr>
        <w:t>支持的操作系统：统信UOS V20，龙芯3A4000/3A5000 、飞腾FT-2000/腾锐D2000 、鲲鹏920/麒麟990 、兆芯ZX-C+C4710/ZX-E KX-6640MA/ZX-E KX-U6780A 、海光C86 3230银河麒麟V10，龙芯3A4000/3A5000 、飞腾FT-1500A/FT-2000/腾锐D2000 、鲲鹏920 、兆芯ZX-C+C4710/ZX-E KX-U6780A 、海光C86 3230/3250、windows系统；、windows XP/7/8/10</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14.移动终端</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43</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台</w:t>
      </w:r>
    </w:p>
    <w:p>
      <w:pPr>
        <w:pStyle w:val="2"/>
        <w:numPr>
          <w:ilvl w:val="0"/>
          <w:numId w:val="15"/>
        </w:numPr>
        <w:ind w:firstLineChars="0"/>
        <w:rPr>
          <w:rFonts w:hint="default" w:ascii="Times New Roman" w:hAnsi="Times New Roman" w:cs="Times New Roman"/>
          <w:szCs w:val="24"/>
        </w:rPr>
      </w:pPr>
      <w:r>
        <w:rPr>
          <w:rFonts w:hint="default" w:ascii="Times New Roman" w:hAnsi="Times New Roman" w:cs="Times New Roman"/>
          <w:szCs w:val="24"/>
        </w:rPr>
        <w:t>运行内存：8GB； CPU型号：骁龙8+ 4G；机身重量：约197克；红外遥控：支持；屏幕尺寸：6.67英寸；操作系统：HarmonyOS 3.1；电池容量：4815mAh；前置摄像头：1300万像素超广角摄像头（F2.4光圈）；后置摄像头像素：超聚光摄像头：4800万像素；超广角摄像头：1300万像素；潜望式长焦摄像头：1200万像素；屏幕色彩：10.7亿色，P3广色域；分辨率：FHD+2700x1220像素；屏幕类型：OLED，支持1-120Hz LTPO 自适应刷新率 1440Hz高频 PWM 调光，300Hz触控采样率</w:t>
      </w:r>
      <w:r>
        <w:rPr>
          <w:rFonts w:hint="default" w:ascii="Times New Roman" w:hAnsi="Times New Roman" w:cs="Times New Roman"/>
          <w:szCs w:val="24"/>
        </w:rPr>
        <w:tab/>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15.会议桌             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张</w:t>
      </w:r>
    </w:p>
    <w:p>
      <w:pPr>
        <w:pStyle w:val="2"/>
        <w:numPr>
          <w:ilvl w:val="0"/>
          <w:numId w:val="16"/>
        </w:numPr>
        <w:ind w:firstLineChars="0"/>
        <w:rPr>
          <w:rFonts w:hint="default" w:ascii="Times New Roman" w:hAnsi="Times New Roman" w:cs="Times New Roman"/>
          <w:szCs w:val="24"/>
        </w:rPr>
      </w:pPr>
      <w:r>
        <w:rPr>
          <w:rFonts w:hint="default" w:ascii="Times New Roman" w:hAnsi="Times New Roman" w:cs="Times New Roman"/>
          <w:szCs w:val="24"/>
        </w:rPr>
        <w:t>定制尺寸：5.2米*2.0米；带多功能信息单元（多功能桌插）</w:t>
      </w:r>
      <w:r>
        <w:rPr>
          <w:rFonts w:hint="default" w:ascii="Times New Roman" w:hAnsi="Times New Roman" w:cs="Times New Roman"/>
          <w:szCs w:val="24"/>
        </w:rPr>
        <w:tab/>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16.会议椅</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把</w:t>
      </w:r>
    </w:p>
    <w:p>
      <w:pPr>
        <w:pStyle w:val="5"/>
        <w:numPr>
          <w:ilvl w:val="0"/>
          <w:numId w:val="0"/>
        </w:numPr>
        <w:spacing w:line="520" w:lineRule="exact"/>
        <w:ind w:left="57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17.其他辅材</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批</w:t>
      </w:r>
    </w:p>
    <w:bookmarkEnd w:id="78"/>
    <w:p>
      <w:pPr>
        <w:pStyle w:val="5"/>
        <w:numPr>
          <w:ilvl w:val="0"/>
          <w:numId w:val="0"/>
        </w:numPr>
        <w:spacing w:line="520" w:lineRule="exact"/>
        <w:ind w:left="574"/>
        <w:rPr>
          <w:rFonts w:hint="default" w:ascii="Times New Roman" w:hAnsi="Times New Roman" w:cs="Times New Roman"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9">
      <wne:fci wne:fciName="InsertCrossReference" wne:swArg="0000"/>
    </wne:keymap>
  </wne:keymaps>
  <wne:acds>
    <wne:acd wne:argValue="AQAAAAEA" wne:acdName="acd0" wne:fciIndexBasedOn="0065"/>
    <wne:acd wne:argValue="AQAAAA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Calibri"/>
    <w:panose1 w:val="00000000000000000000"/>
    <w:charset w:val="00"/>
    <w:family w:val="swiss"/>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8538"/>
    </w:sdtPr>
    <w:sdtContent>
      <w:sdt>
        <w:sdtPr>
          <w:id w:val="171357217"/>
        </w:sdtPr>
        <w:sdtContent>
          <w:p>
            <w:pPr>
              <w:pStyle w:val="18"/>
              <w:ind w:firstLine="360"/>
              <w:jc w:val="center"/>
              <w:rPr>
                <w:rFonts w:hint="eastAsia"/>
              </w:rPr>
            </w:pPr>
            <w:r>
              <w:t xml:space="preserve"> </w:t>
            </w:r>
            <w:r>
              <w:rPr>
                <w:b/>
                <w:sz w:val="24"/>
                <w:szCs w:val="24"/>
              </w:rPr>
              <w:fldChar w:fldCharType="begin"/>
            </w:r>
            <w:r>
              <w:rPr>
                <w:b/>
              </w:rPr>
              <w:instrText xml:space="preserve">PAGE</w:instrText>
            </w:r>
            <w:r>
              <w:rPr>
                <w:b/>
                <w:sz w:val="24"/>
                <w:szCs w:val="24"/>
              </w:rPr>
              <w:fldChar w:fldCharType="separate"/>
            </w:r>
            <w:r>
              <w:rPr>
                <w:rFonts w:hint="eastAsia"/>
                <w:b/>
              </w:rPr>
              <w:t>17</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rFonts w:hint="eastAsia"/>
                <w:b/>
              </w:rPr>
              <w:t>17</w:t>
            </w:r>
            <w:r>
              <w:rPr>
                <w:b/>
                <w:sz w:val="24"/>
                <w:szCs w:val="24"/>
              </w:rPr>
              <w:fldChar w:fldCharType="end"/>
            </w:r>
          </w:p>
        </w:sdtContent>
      </w:sdt>
    </w:sdtContent>
  </w:sdt>
  <w:p>
    <w:pPr>
      <w:pStyle w:val="18"/>
      <w:tabs>
        <w:tab w:val="clear" w:pos="4153"/>
      </w:tabs>
      <w:ind w:firstLine="0" w:firstLineChars="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03145"/>
    <w:multiLevelType w:val="multilevel"/>
    <w:tmpl w:val="0090314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A811831"/>
    <w:multiLevelType w:val="multilevel"/>
    <w:tmpl w:val="0A81183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912DDD"/>
    <w:multiLevelType w:val="multilevel"/>
    <w:tmpl w:val="11912DD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77BC206"/>
    <w:multiLevelType w:val="multilevel"/>
    <w:tmpl w:val="177BC206"/>
    <w:lvl w:ilvl="0" w:tentative="0">
      <w:start w:val="1"/>
      <w:numFmt w:val="decimal"/>
      <w:pStyle w:val="5"/>
      <w:lvlText w:val="%1."/>
      <w:lvlJc w:val="left"/>
      <w:pPr>
        <w:ind w:left="574" w:hanging="432"/>
      </w:pPr>
      <w:rPr>
        <w:rFonts w:hint="default"/>
      </w:rPr>
    </w:lvl>
    <w:lvl w:ilvl="1" w:tentative="0">
      <w:start w:val="1"/>
      <w:numFmt w:val="decimal"/>
      <w:pStyle w:val="7"/>
      <w:lvlText w:val="%1.%2."/>
      <w:lvlJc w:val="left"/>
      <w:pPr>
        <w:ind w:left="575" w:hanging="575"/>
      </w:pPr>
      <w:rPr>
        <w:rFonts w:hint="default"/>
      </w:rPr>
    </w:lvl>
    <w:lvl w:ilvl="2" w:tentative="0">
      <w:start w:val="1"/>
      <w:numFmt w:val="decimal"/>
      <w:pStyle w:val="8"/>
      <w:lvlText w:val="%1.%2.%3."/>
      <w:lvlJc w:val="left"/>
      <w:pPr>
        <w:ind w:left="720" w:hanging="720"/>
      </w:pPr>
      <w:rPr>
        <w:rFonts w:hint="default"/>
      </w:rPr>
    </w:lvl>
    <w:lvl w:ilvl="3" w:tentative="0">
      <w:start w:val="1"/>
      <w:numFmt w:val="decimal"/>
      <w:pStyle w:val="9"/>
      <w:lvlText w:val="%1.%2.%3.%4."/>
      <w:lvlJc w:val="left"/>
      <w:pPr>
        <w:ind w:left="864" w:hanging="864"/>
      </w:pPr>
      <w:rPr>
        <w:rFonts w:hint="default"/>
      </w:rPr>
    </w:lvl>
    <w:lvl w:ilvl="4" w:tentative="0">
      <w:start w:val="1"/>
      <w:numFmt w:val="decimal"/>
      <w:pStyle w:val="10"/>
      <w:lvlText w:val="%1.%2.%3.%4.%5."/>
      <w:lvlJc w:val="left"/>
      <w:pPr>
        <w:ind w:left="1008" w:hanging="1008"/>
      </w:pPr>
      <w:rPr>
        <w:rFonts w:hint="default"/>
      </w:rPr>
    </w:lvl>
    <w:lvl w:ilvl="5" w:tentative="0">
      <w:start w:val="1"/>
      <w:numFmt w:val="decimal"/>
      <w:pStyle w:val="11"/>
      <w:lvlText w:val="%1.%2.%3.%4.%5.%6."/>
      <w:lvlJc w:val="left"/>
      <w:pPr>
        <w:ind w:left="1151" w:hanging="1151"/>
      </w:pPr>
      <w:rPr>
        <w:rFonts w:hint="default"/>
      </w:rPr>
    </w:lvl>
    <w:lvl w:ilvl="6" w:tentative="0">
      <w:start w:val="1"/>
      <w:numFmt w:val="decimal"/>
      <w:pStyle w:val="12"/>
      <w:lvlText w:val="%1.%2.%3.%4.%5.%6.%7."/>
      <w:lvlJc w:val="left"/>
      <w:pPr>
        <w:ind w:left="1296" w:hanging="1296"/>
      </w:pPr>
      <w:rPr>
        <w:rFonts w:hint="default"/>
      </w:rPr>
    </w:lvl>
    <w:lvl w:ilvl="7" w:tentative="0">
      <w:start w:val="1"/>
      <w:numFmt w:val="decimal"/>
      <w:pStyle w:val="13"/>
      <w:lvlText w:val="%1.%2.%3.%4.%5.%6.%7.%8."/>
      <w:lvlJc w:val="left"/>
      <w:pPr>
        <w:ind w:left="1440" w:hanging="1440"/>
      </w:pPr>
      <w:rPr>
        <w:rFonts w:hint="default"/>
      </w:rPr>
    </w:lvl>
    <w:lvl w:ilvl="8" w:tentative="0">
      <w:start w:val="1"/>
      <w:numFmt w:val="decimal"/>
      <w:pStyle w:val="14"/>
      <w:lvlText w:val="%1.%2.%3.%4.%5.%6.%7.%8.%9."/>
      <w:lvlJc w:val="left"/>
      <w:pPr>
        <w:ind w:left="1583" w:hanging="1583"/>
      </w:pPr>
      <w:rPr>
        <w:rFonts w:hint="default"/>
      </w:rPr>
    </w:lvl>
  </w:abstractNum>
  <w:abstractNum w:abstractNumId="4">
    <w:nsid w:val="28B30A01"/>
    <w:multiLevelType w:val="multilevel"/>
    <w:tmpl w:val="28B30A0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066764C"/>
    <w:multiLevelType w:val="multilevel"/>
    <w:tmpl w:val="3066764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6EC34B8"/>
    <w:multiLevelType w:val="multilevel"/>
    <w:tmpl w:val="36EC34B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BBF5D30"/>
    <w:multiLevelType w:val="multilevel"/>
    <w:tmpl w:val="3BBF5D3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DBC20A4"/>
    <w:multiLevelType w:val="multilevel"/>
    <w:tmpl w:val="3DBC20A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75D74C5"/>
    <w:multiLevelType w:val="multilevel"/>
    <w:tmpl w:val="475D74C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90C17CB"/>
    <w:multiLevelType w:val="multilevel"/>
    <w:tmpl w:val="490C17C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7093F9F"/>
    <w:multiLevelType w:val="multilevel"/>
    <w:tmpl w:val="57093F9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26C0714"/>
    <w:multiLevelType w:val="multilevel"/>
    <w:tmpl w:val="626C071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1B619BF"/>
    <w:multiLevelType w:val="multilevel"/>
    <w:tmpl w:val="71B619B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47C1ABD"/>
    <w:multiLevelType w:val="multilevel"/>
    <w:tmpl w:val="747C1AB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B804114"/>
    <w:multiLevelType w:val="multilevel"/>
    <w:tmpl w:val="7B80411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11"/>
  </w:num>
  <w:num w:numId="4">
    <w:abstractNumId w:val="1"/>
  </w:num>
  <w:num w:numId="5">
    <w:abstractNumId w:val="15"/>
  </w:num>
  <w:num w:numId="6">
    <w:abstractNumId w:val="14"/>
  </w:num>
  <w:num w:numId="7">
    <w:abstractNumId w:val="12"/>
  </w:num>
  <w:num w:numId="8">
    <w:abstractNumId w:val="9"/>
  </w:num>
  <w:num w:numId="9">
    <w:abstractNumId w:val="6"/>
  </w:num>
  <w:num w:numId="10">
    <w:abstractNumId w:val="7"/>
  </w:num>
  <w:num w:numId="11">
    <w:abstractNumId w:val="0"/>
  </w:num>
  <w:num w:numId="12">
    <w:abstractNumId w:val="2"/>
  </w:num>
  <w:num w:numId="13">
    <w:abstractNumId w:val="8"/>
  </w:num>
  <w:num w:numId="14">
    <w:abstractNumId w:val="13"/>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WE5NTZkODA2YTliZmIzYzgyY2I3Njk1MTQ0NGYifQ=="/>
  </w:docVars>
  <w:rsids>
    <w:rsidRoot w:val="00C63F37"/>
    <w:rsid w:val="00030AAF"/>
    <w:rsid w:val="00031B61"/>
    <w:rsid w:val="000D5E1A"/>
    <w:rsid w:val="000E4979"/>
    <w:rsid w:val="00133911"/>
    <w:rsid w:val="00232B7B"/>
    <w:rsid w:val="00232CF8"/>
    <w:rsid w:val="00261D43"/>
    <w:rsid w:val="002764C5"/>
    <w:rsid w:val="002E5D4A"/>
    <w:rsid w:val="002F03A6"/>
    <w:rsid w:val="003041F4"/>
    <w:rsid w:val="00351CF5"/>
    <w:rsid w:val="003549C5"/>
    <w:rsid w:val="003A344D"/>
    <w:rsid w:val="00405D96"/>
    <w:rsid w:val="0042252E"/>
    <w:rsid w:val="0049488F"/>
    <w:rsid w:val="004F2174"/>
    <w:rsid w:val="00540D12"/>
    <w:rsid w:val="00545200"/>
    <w:rsid w:val="00546560"/>
    <w:rsid w:val="0057782C"/>
    <w:rsid w:val="005A33D0"/>
    <w:rsid w:val="005C51B9"/>
    <w:rsid w:val="005F74E7"/>
    <w:rsid w:val="006A10A8"/>
    <w:rsid w:val="006A72F0"/>
    <w:rsid w:val="006E6914"/>
    <w:rsid w:val="0072060E"/>
    <w:rsid w:val="007236B1"/>
    <w:rsid w:val="00732B74"/>
    <w:rsid w:val="007336E7"/>
    <w:rsid w:val="007457AC"/>
    <w:rsid w:val="007B7369"/>
    <w:rsid w:val="007D3ECE"/>
    <w:rsid w:val="007E7C4A"/>
    <w:rsid w:val="00832EED"/>
    <w:rsid w:val="008D481D"/>
    <w:rsid w:val="00902FC5"/>
    <w:rsid w:val="00973AE9"/>
    <w:rsid w:val="009C2308"/>
    <w:rsid w:val="00A032DB"/>
    <w:rsid w:val="00B37497"/>
    <w:rsid w:val="00B513FF"/>
    <w:rsid w:val="00B51EF3"/>
    <w:rsid w:val="00BA0D77"/>
    <w:rsid w:val="00C07050"/>
    <w:rsid w:val="00C12C26"/>
    <w:rsid w:val="00C63F37"/>
    <w:rsid w:val="00C67664"/>
    <w:rsid w:val="00C83365"/>
    <w:rsid w:val="00C97228"/>
    <w:rsid w:val="00DC494C"/>
    <w:rsid w:val="00DD34D6"/>
    <w:rsid w:val="00DE25C7"/>
    <w:rsid w:val="00DF59A0"/>
    <w:rsid w:val="00E72527"/>
    <w:rsid w:val="00E73F20"/>
    <w:rsid w:val="00F53F24"/>
    <w:rsid w:val="00F57E33"/>
    <w:rsid w:val="00F61733"/>
    <w:rsid w:val="00FB319E"/>
    <w:rsid w:val="036C2936"/>
    <w:rsid w:val="03F40DCB"/>
    <w:rsid w:val="06071298"/>
    <w:rsid w:val="069018A4"/>
    <w:rsid w:val="06EB48A6"/>
    <w:rsid w:val="074D717F"/>
    <w:rsid w:val="0A993113"/>
    <w:rsid w:val="0C9E7769"/>
    <w:rsid w:val="0D77575D"/>
    <w:rsid w:val="10192607"/>
    <w:rsid w:val="113C571A"/>
    <w:rsid w:val="11E72CA2"/>
    <w:rsid w:val="13A2258A"/>
    <w:rsid w:val="14ED3D4F"/>
    <w:rsid w:val="1C614DF0"/>
    <w:rsid w:val="1D735BB8"/>
    <w:rsid w:val="1FCF1F57"/>
    <w:rsid w:val="209B4007"/>
    <w:rsid w:val="21136E62"/>
    <w:rsid w:val="28840024"/>
    <w:rsid w:val="28A3518B"/>
    <w:rsid w:val="2C7F1397"/>
    <w:rsid w:val="32175DDC"/>
    <w:rsid w:val="361A4D86"/>
    <w:rsid w:val="370F0282"/>
    <w:rsid w:val="375C31C8"/>
    <w:rsid w:val="37712166"/>
    <w:rsid w:val="38805C7B"/>
    <w:rsid w:val="3B5A2B0D"/>
    <w:rsid w:val="3BD32429"/>
    <w:rsid w:val="3D687B67"/>
    <w:rsid w:val="3FD20DE2"/>
    <w:rsid w:val="44093F8C"/>
    <w:rsid w:val="48474F56"/>
    <w:rsid w:val="4D0B243D"/>
    <w:rsid w:val="4D48737D"/>
    <w:rsid w:val="50BA43E8"/>
    <w:rsid w:val="525E350A"/>
    <w:rsid w:val="53445C23"/>
    <w:rsid w:val="53975961"/>
    <w:rsid w:val="540E2CF6"/>
    <w:rsid w:val="5742424E"/>
    <w:rsid w:val="5BB73828"/>
    <w:rsid w:val="5D7C6A7C"/>
    <w:rsid w:val="5E157444"/>
    <w:rsid w:val="5F772160"/>
    <w:rsid w:val="5F9F48C2"/>
    <w:rsid w:val="61F83FD0"/>
    <w:rsid w:val="64E3301D"/>
    <w:rsid w:val="64F25DE5"/>
    <w:rsid w:val="668A12DF"/>
    <w:rsid w:val="6ABD2DC9"/>
    <w:rsid w:val="6B9558AC"/>
    <w:rsid w:val="6BC627D7"/>
    <w:rsid w:val="6CE328A6"/>
    <w:rsid w:val="6EC10D02"/>
    <w:rsid w:val="70810AB8"/>
    <w:rsid w:val="71AB4ECE"/>
    <w:rsid w:val="7DCB57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883" w:firstLineChars="200"/>
      <w:jc w:val="both"/>
    </w:pPr>
    <w:rPr>
      <w:rFonts w:ascii="Noto Sans Mono CJK JP Regular" w:hAnsi="Noto Sans Mono CJK JP Regular" w:eastAsia="宋体" w:cs="Noto Sans Mono CJK JP Regular"/>
      <w:sz w:val="24"/>
      <w:szCs w:val="22"/>
      <w:lang w:val="zh-CN" w:eastAsia="zh-CN" w:bidi="zh-CN"/>
    </w:rPr>
  </w:style>
  <w:style w:type="paragraph" w:styleId="5">
    <w:name w:val="heading 1"/>
    <w:basedOn w:val="6"/>
    <w:next w:val="1"/>
    <w:qFormat/>
    <w:uiPriority w:val="0"/>
    <w:pPr>
      <w:keepNext/>
      <w:keepLines/>
      <w:numPr>
        <w:ilvl w:val="0"/>
        <w:numId w:val="1"/>
      </w:numPr>
      <w:spacing w:line="360" w:lineRule="auto"/>
      <w:outlineLvl w:val="0"/>
    </w:pPr>
    <w:rPr>
      <w:rFonts w:ascii="Times New Roman" w:hAnsi="Times New Roman" w:eastAsia="黑体" w:cs="Times New Roman"/>
      <w:b/>
      <w:kern w:val="44"/>
      <w:sz w:val="28"/>
    </w:rPr>
  </w:style>
  <w:style w:type="paragraph" w:styleId="7">
    <w:name w:val="heading 2"/>
    <w:basedOn w:val="5"/>
    <w:next w:val="1"/>
    <w:link w:val="33"/>
    <w:unhideWhenUsed/>
    <w:qFormat/>
    <w:uiPriority w:val="0"/>
    <w:pPr>
      <w:numPr>
        <w:ilvl w:val="1"/>
      </w:numPr>
      <w:spacing w:line="413" w:lineRule="auto"/>
      <w:outlineLvl w:val="1"/>
    </w:pPr>
    <w:rPr>
      <w:rFonts w:ascii="Arial" w:hAnsi="Arial"/>
      <w:sz w:val="32"/>
    </w:rPr>
  </w:style>
  <w:style w:type="paragraph" w:styleId="8">
    <w:name w:val="heading 3"/>
    <w:basedOn w:val="7"/>
    <w:next w:val="1"/>
    <w:semiHidden/>
    <w:unhideWhenUsed/>
    <w:qFormat/>
    <w:uiPriority w:val="0"/>
    <w:pPr>
      <w:numPr>
        <w:ilvl w:val="2"/>
      </w:numPr>
      <w:outlineLvl w:val="2"/>
    </w:pPr>
  </w:style>
  <w:style w:type="paragraph" w:styleId="9">
    <w:name w:val="heading 4"/>
    <w:basedOn w:val="8"/>
    <w:next w:val="1"/>
    <w:semiHidden/>
    <w:unhideWhenUsed/>
    <w:qFormat/>
    <w:uiPriority w:val="0"/>
    <w:pPr>
      <w:numPr>
        <w:ilvl w:val="3"/>
      </w:numPr>
      <w:spacing w:line="372" w:lineRule="auto"/>
      <w:outlineLvl w:val="3"/>
    </w:pPr>
    <w:rPr>
      <w:sz w:val="28"/>
    </w:rPr>
  </w:style>
  <w:style w:type="paragraph" w:styleId="10">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11">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12">
    <w:name w:val="heading 7"/>
    <w:basedOn w:val="1"/>
    <w:next w:val="1"/>
    <w:semiHidden/>
    <w:unhideWhenUsed/>
    <w:qFormat/>
    <w:uiPriority w:val="0"/>
    <w:pPr>
      <w:keepNext/>
      <w:keepLines/>
      <w:numPr>
        <w:ilvl w:val="6"/>
        <w:numId w:val="1"/>
      </w:numPr>
      <w:spacing w:line="317" w:lineRule="auto"/>
      <w:outlineLvl w:val="6"/>
    </w:pPr>
    <w:rPr>
      <w:b/>
    </w:rPr>
  </w:style>
  <w:style w:type="paragraph" w:styleId="13">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4">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style>
  <w:style w:type="paragraph" w:styleId="4">
    <w:name w:val="envelope return"/>
    <w:basedOn w:val="1"/>
    <w:unhideWhenUsed/>
    <w:qFormat/>
    <w:uiPriority w:val="99"/>
    <w:pPr>
      <w:snapToGrid w:val="0"/>
    </w:pPr>
    <w:rPr>
      <w:rFonts w:ascii="Arial" w:hAnsi="Arial"/>
    </w:rPr>
  </w:style>
  <w:style w:type="paragraph" w:customStyle="1" w:styleId="6">
    <w:name w:val="无间隔1"/>
    <w:qFormat/>
    <w:uiPriority w:val="1"/>
    <w:pPr>
      <w:widowControl w:val="0"/>
      <w:jc w:val="both"/>
    </w:pPr>
    <w:rPr>
      <w:rFonts w:eastAsia="宋体" w:asciiTheme="minorHAnsi" w:hAnsiTheme="minorHAnsi" w:cstheme="minorBidi"/>
      <w:kern w:val="2"/>
      <w:sz w:val="24"/>
      <w:szCs w:val="22"/>
      <w:lang w:val="en-US" w:eastAsia="zh-CN" w:bidi="ar-SA"/>
    </w:rPr>
  </w:style>
  <w:style w:type="paragraph" w:styleId="15">
    <w:name w:val="Body Text"/>
    <w:basedOn w:val="1"/>
    <w:next w:val="1"/>
    <w:link w:val="32"/>
    <w:qFormat/>
    <w:uiPriority w:val="0"/>
    <w:pPr>
      <w:spacing w:after="120"/>
    </w:pPr>
  </w:style>
  <w:style w:type="paragraph" w:styleId="16">
    <w:name w:val="Plain Text"/>
    <w:basedOn w:val="1"/>
    <w:link w:val="31"/>
    <w:qFormat/>
    <w:uiPriority w:val="0"/>
    <w:rPr>
      <w:rFonts w:ascii="宋体" w:hAnsi="Courier New" w:cs="Courier New"/>
      <w:sz w:val="21"/>
      <w:szCs w:val="21"/>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4"/>
    <w:unhideWhenUsed/>
    <w:qFormat/>
    <w:uiPriority w:val="99"/>
    <w:pPr>
      <w:tabs>
        <w:tab w:val="center" w:pos="4153"/>
        <w:tab w:val="right" w:pos="8306"/>
      </w:tabs>
      <w:snapToGrid w:val="0"/>
    </w:pPr>
    <w:rPr>
      <w:sz w:val="18"/>
      <w:szCs w:val="18"/>
    </w:rPr>
  </w:style>
  <w:style w:type="paragraph" w:styleId="19">
    <w:name w:val="header"/>
    <w:basedOn w:val="1"/>
    <w:link w:val="2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footnote text"/>
    <w:basedOn w:val="1"/>
    <w:qFormat/>
    <w:uiPriority w:val="0"/>
    <w:pPr>
      <w:snapToGrid w:val="0"/>
    </w:pPr>
    <w:rPr>
      <w:rFonts w:ascii="Calibri" w:hAnsi="Calibri" w:cs="Times New Roman"/>
      <w:kern w:val="2"/>
      <w:sz w:val="18"/>
      <w:szCs w:val="18"/>
    </w:rPr>
  </w:style>
  <w:style w:type="character" w:customStyle="1" w:styleId="23">
    <w:name w:val="font21"/>
    <w:basedOn w:val="22"/>
    <w:qFormat/>
    <w:uiPriority w:val="0"/>
    <w:rPr>
      <w:rFonts w:hint="eastAsia" w:ascii="宋体" w:hAnsi="宋体" w:eastAsia="宋体" w:cs="宋体"/>
      <w:b/>
      <w:bCs/>
      <w:color w:val="000000"/>
      <w:sz w:val="21"/>
      <w:szCs w:val="21"/>
      <w:u w:val="none"/>
    </w:rPr>
  </w:style>
  <w:style w:type="character" w:customStyle="1" w:styleId="24">
    <w:name w:val="font51"/>
    <w:basedOn w:val="22"/>
    <w:qFormat/>
    <w:uiPriority w:val="0"/>
    <w:rPr>
      <w:rFonts w:hint="default" w:ascii="Calibri" w:hAnsi="Calibri" w:cs="Calibri"/>
      <w:b/>
      <w:bCs/>
      <w:color w:val="000000"/>
      <w:sz w:val="21"/>
      <w:szCs w:val="21"/>
      <w:u w:val="none"/>
    </w:rPr>
  </w:style>
  <w:style w:type="character" w:customStyle="1" w:styleId="25">
    <w:name w:val="font31"/>
    <w:basedOn w:val="22"/>
    <w:qFormat/>
    <w:uiPriority w:val="0"/>
    <w:rPr>
      <w:rFonts w:hint="default" w:ascii="Calibri" w:hAnsi="Calibri" w:cs="Calibri"/>
      <w:color w:val="000000"/>
      <w:sz w:val="21"/>
      <w:szCs w:val="21"/>
      <w:u w:val="none"/>
    </w:rPr>
  </w:style>
  <w:style w:type="character" w:customStyle="1" w:styleId="26">
    <w:name w:val="font01"/>
    <w:basedOn w:val="22"/>
    <w:qFormat/>
    <w:uiPriority w:val="0"/>
    <w:rPr>
      <w:rFonts w:hint="eastAsia" w:ascii="宋体" w:hAnsi="宋体" w:eastAsia="宋体" w:cs="宋体"/>
      <w:color w:val="000000"/>
      <w:sz w:val="21"/>
      <w:szCs w:val="21"/>
      <w:u w:val="none"/>
    </w:rPr>
  </w:style>
  <w:style w:type="character" w:customStyle="1" w:styleId="27">
    <w:name w:val="font11"/>
    <w:basedOn w:val="22"/>
    <w:qFormat/>
    <w:uiPriority w:val="0"/>
    <w:rPr>
      <w:rFonts w:hint="eastAsia" w:ascii="宋体" w:hAnsi="宋体" w:eastAsia="宋体" w:cs="宋体"/>
      <w:color w:val="000000"/>
      <w:sz w:val="22"/>
      <w:szCs w:val="22"/>
      <w:u w:val="none"/>
    </w:rPr>
  </w:style>
  <w:style w:type="character" w:customStyle="1" w:styleId="28">
    <w:name w:val="font41"/>
    <w:basedOn w:val="22"/>
    <w:qFormat/>
    <w:uiPriority w:val="0"/>
    <w:rPr>
      <w:rFonts w:hint="eastAsia" w:ascii="宋体" w:hAnsi="宋体" w:eastAsia="宋体" w:cs="宋体"/>
      <w:b/>
      <w:bCs/>
      <w:color w:val="000000"/>
      <w:sz w:val="22"/>
      <w:szCs w:val="22"/>
      <w:u w:val="none"/>
    </w:rPr>
  </w:style>
  <w:style w:type="character" w:customStyle="1" w:styleId="29">
    <w:name w:val="页眉 字符"/>
    <w:basedOn w:val="22"/>
    <w:link w:val="19"/>
    <w:qFormat/>
    <w:uiPriority w:val="0"/>
    <w:rPr>
      <w:rFonts w:ascii="Noto Sans Mono CJK JP Regular" w:hAnsi="Noto Sans Mono CJK JP Regular" w:cs="Noto Sans Mono CJK JP Regular"/>
      <w:sz w:val="18"/>
      <w:szCs w:val="18"/>
      <w:lang w:val="zh-CN" w:bidi="zh-CN"/>
    </w:rPr>
  </w:style>
  <w:style w:type="paragraph" w:customStyle="1" w:styleId="30">
    <w:name w:val="正文2"/>
    <w:basedOn w:val="16"/>
    <w:next w:val="1"/>
    <w:qFormat/>
    <w:uiPriority w:val="0"/>
    <w:pPr>
      <w:suppressAutoHyphens/>
      <w:autoSpaceDE/>
      <w:autoSpaceDN/>
      <w:spacing w:line="240" w:lineRule="auto"/>
      <w:ind w:firstLine="0" w:firstLineChars="0"/>
    </w:pPr>
    <w:rPr>
      <w:kern w:val="2"/>
      <w:lang w:val="en-US" w:bidi="ar-SA"/>
    </w:rPr>
  </w:style>
  <w:style w:type="character" w:customStyle="1" w:styleId="31">
    <w:name w:val="纯文本 字符"/>
    <w:basedOn w:val="22"/>
    <w:link w:val="16"/>
    <w:qFormat/>
    <w:uiPriority w:val="0"/>
    <w:rPr>
      <w:rFonts w:ascii="宋体" w:hAnsi="Courier New" w:cs="Courier New"/>
      <w:sz w:val="21"/>
      <w:szCs w:val="21"/>
      <w:lang w:val="zh-CN" w:bidi="zh-CN"/>
    </w:rPr>
  </w:style>
  <w:style w:type="character" w:customStyle="1" w:styleId="32">
    <w:name w:val="正文文本 字符"/>
    <w:basedOn w:val="22"/>
    <w:link w:val="15"/>
    <w:qFormat/>
    <w:uiPriority w:val="0"/>
    <w:rPr>
      <w:rFonts w:ascii="Noto Sans Mono CJK JP Regular" w:hAnsi="Noto Sans Mono CJK JP Regular" w:cs="Noto Sans Mono CJK JP Regular"/>
      <w:sz w:val="24"/>
      <w:szCs w:val="22"/>
      <w:lang w:val="zh-CN" w:bidi="zh-CN"/>
    </w:rPr>
  </w:style>
  <w:style w:type="character" w:customStyle="1" w:styleId="33">
    <w:name w:val="标题 2 字符"/>
    <w:basedOn w:val="22"/>
    <w:link w:val="7"/>
    <w:qFormat/>
    <w:uiPriority w:val="0"/>
    <w:rPr>
      <w:rFonts w:ascii="Arial" w:hAnsi="Arial" w:eastAsia="黑体"/>
      <w:b/>
      <w:kern w:val="44"/>
      <w:sz w:val="32"/>
      <w:szCs w:val="22"/>
    </w:rPr>
  </w:style>
  <w:style w:type="character" w:customStyle="1" w:styleId="34">
    <w:name w:val="页脚 字符"/>
    <w:basedOn w:val="22"/>
    <w:link w:val="18"/>
    <w:qFormat/>
    <w:uiPriority w:val="99"/>
    <w:rPr>
      <w:rFonts w:ascii="Noto Sans Mono CJK JP Regular" w:hAnsi="Noto Sans Mono CJK JP Regular" w:cs="Noto Sans Mono CJK JP Regular"/>
      <w:sz w:val="18"/>
      <w:szCs w:val="18"/>
      <w:lang w:val="zh-CN" w:bidi="zh-CN"/>
    </w:rPr>
  </w:style>
  <w:style w:type="character" w:customStyle="1" w:styleId="35">
    <w:name w:val="批注框文本 字符"/>
    <w:basedOn w:val="22"/>
    <w:link w:val="17"/>
    <w:qFormat/>
    <w:uiPriority w:val="0"/>
    <w:rPr>
      <w:rFonts w:ascii="Noto Sans Mono CJK JP Regular" w:hAnsi="Noto Sans Mono CJK JP Regular" w:cs="Noto Sans Mono CJK JP Regular"/>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9707</Words>
  <Characters>11001</Characters>
  <Lines>81</Lines>
  <Paragraphs>22</Paragraphs>
  <TotalTime>69</TotalTime>
  <ScaleCrop>false</ScaleCrop>
  <LinksUpToDate>false</LinksUpToDate>
  <CharactersWithSpaces>11225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2022-07-27T02:55:00Z</dcterms:created>
  <dc:creator>matech</dc:creator>
  <cp:lastModifiedBy>慕寒</cp:lastModifiedBy>
  <dcterms:modified xsi:type="dcterms:W3CDTF">2023-07-11T01:31:29Z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A68C0C98A6584315B722167C2FD2F136</vt:lpwstr>
  </property>
</Properties>
</file>