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p>
    <w:p>
      <w:pPr>
        <w:jc w:val="center"/>
        <w:rPr>
          <w:sz w:val="28"/>
          <w:szCs w:val="28"/>
        </w:rPr>
      </w:pPr>
    </w:p>
    <w:p>
      <w:pPr>
        <w:jc w:val="center"/>
        <w:rPr>
          <w:sz w:val="48"/>
          <w:szCs w:val="48"/>
        </w:rPr>
      </w:pPr>
    </w:p>
    <w:p>
      <w:pPr>
        <w:jc w:val="center"/>
        <w:rPr>
          <w:rFonts w:hint="eastAsia" w:eastAsiaTheme="minorEastAsia"/>
          <w:sz w:val="48"/>
          <w:szCs w:val="48"/>
          <w:lang w:eastAsia="zh-CN"/>
        </w:rPr>
      </w:pPr>
      <w:r>
        <w:rPr>
          <w:rFonts w:hint="eastAsia"/>
          <w:sz w:val="48"/>
          <w:szCs w:val="48"/>
        </w:rPr>
        <w:t>达州日报社</w:t>
      </w:r>
      <w:r>
        <w:rPr>
          <w:rFonts w:hint="eastAsia"/>
          <w:sz w:val="48"/>
          <w:szCs w:val="48"/>
          <w:lang w:eastAsia="zh-CN"/>
        </w:rPr>
        <w:t>融媒体指挥中心</w:t>
      </w: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72"/>
          <w:szCs w:val="72"/>
        </w:rPr>
      </w:pPr>
      <w:r>
        <w:rPr>
          <w:rFonts w:hint="eastAsia"/>
          <w:sz w:val="72"/>
          <w:szCs w:val="72"/>
        </w:rPr>
        <w:t>招</w:t>
      </w:r>
    </w:p>
    <w:p>
      <w:pPr>
        <w:jc w:val="center"/>
        <w:rPr>
          <w:sz w:val="72"/>
          <w:szCs w:val="72"/>
        </w:rPr>
      </w:pPr>
      <w:r>
        <w:rPr>
          <w:rFonts w:hint="eastAsia"/>
          <w:sz w:val="72"/>
          <w:szCs w:val="72"/>
        </w:rPr>
        <w:t>标</w:t>
      </w:r>
    </w:p>
    <w:p>
      <w:pPr>
        <w:jc w:val="center"/>
        <w:rPr>
          <w:sz w:val="72"/>
          <w:szCs w:val="72"/>
        </w:rPr>
      </w:pPr>
      <w:r>
        <w:rPr>
          <w:rFonts w:hint="eastAsia"/>
          <w:sz w:val="72"/>
          <w:szCs w:val="72"/>
        </w:rPr>
        <w:t>文</w:t>
      </w:r>
    </w:p>
    <w:p>
      <w:pPr>
        <w:jc w:val="center"/>
        <w:rPr>
          <w:sz w:val="72"/>
          <w:szCs w:val="72"/>
        </w:rPr>
      </w:pPr>
      <w:r>
        <w:rPr>
          <w:rFonts w:hint="eastAsia"/>
          <w:sz w:val="72"/>
          <w:szCs w:val="72"/>
        </w:rPr>
        <w:t>件</w:t>
      </w:r>
    </w:p>
    <w:p>
      <w:pPr>
        <w:jc w:val="center"/>
        <w:rPr>
          <w:sz w:val="72"/>
          <w:szCs w:val="72"/>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rFonts w:hint="eastAsia"/>
          <w:sz w:val="28"/>
          <w:szCs w:val="28"/>
        </w:rPr>
        <w:t>2019年</w:t>
      </w:r>
      <w:r>
        <w:rPr>
          <w:rFonts w:hint="eastAsia"/>
          <w:sz w:val="28"/>
          <w:szCs w:val="28"/>
          <w:lang w:val="en-US" w:eastAsia="zh-CN"/>
        </w:rPr>
        <w:t>5</w:t>
      </w:r>
      <w:r>
        <w:rPr>
          <w:rFonts w:hint="eastAsia"/>
          <w:sz w:val="28"/>
          <w:szCs w:val="28"/>
        </w:rPr>
        <w:t>月</w:t>
      </w:r>
    </w:p>
    <w:p>
      <w:pPr>
        <w:rPr>
          <w:sz w:val="28"/>
          <w:szCs w:val="28"/>
        </w:rPr>
      </w:pPr>
    </w:p>
    <w:p>
      <w:pPr>
        <w:rPr>
          <w:sz w:val="28"/>
          <w:szCs w:val="28"/>
        </w:rPr>
      </w:pPr>
    </w:p>
    <w:p>
      <w:pPr>
        <w:rPr>
          <w:sz w:val="28"/>
          <w:szCs w:val="28"/>
        </w:rPr>
      </w:pPr>
    </w:p>
    <w:p>
      <w:pPr>
        <w:jc w:val="center"/>
        <w:rPr>
          <w:sz w:val="48"/>
          <w:szCs w:val="48"/>
        </w:rPr>
      </w:pPr>
      <w:r>
        <w:rPr>
          <w:rFonts w:hint="eastAsia"/>
          <w:sz w:val="48"/>
          <w:szCs w:val="48"/>
        </w:rPr>
        <w:t>目 录</w:t>
      </w:r>
    </w:p>
    <w:p>
      <w:pPr>
        <w:rPr>
          <w:sz w:val="28"/>
          <w:szCs w:val="28"/>
        </w:rPr>
      </w:pPr>
    </w:p>
    <w:p>
      <w:pPr>
        <w:rPr>
          <w:sz w:val="28"/>
          <w:szCs w:val="28"/>
        </w:rPr>
      </w:pPr>
      <w:r>
        <w:rPr>
          <w:rFonts w:hint="eastAsia"/>
          <w:sz w:val="28"/>
          <w:szCs w:val="28"/>
        </w:rPr>
        <w:t>招标文件</w:t>
      </w:r>
    </w:p>
    <w:p>
      <w:pPr>
        <w:rPr>
          <w:sz w:val="28"/>
          <w:szCs w:val="28"/>
        </w:rPr>
      </w:pPr>
      <w:r>
        <w:rPr>
          <w:rFonts w:hint="eastAsia"/>
          <w:sz w:val="28"/>
          <w:szCs w:val="28"/>
        </w:rPr>
        <w:t>第一章</w:t>
      </w:r>
      <w:r>
        <w:rPr>
          <w:rFonts w:hint="eastAsia"/>
          <w:sz w:val="28"/>
          <w:szCs w:val="28"/>
          <w:lang w:val="en-US" w:eastAsia="zh-CN"/>
        </w:rPr>
        <w:t xml:space="preserve">  </w:t>
      </w:r>
      <w:r>
        <w:rPr>
          <w:rFonts w:hint="eastAsia"/>
          <w:sz w:val="28"/>
          <w:szCs w:val="28"/>
        </w:rPr>
        <w:t>投标人须知</w:t>
      </w:r>
    </w:p>
    <w:p>
      <w:pPr>
        <w:rPr>
          <w:sz w:val="28"/>
          <w:szCs w:val="28"/>
        </w:rPr>
      </w:pPr>
      <w:r>
        <w:rPr>
          <w:rFonts w:hint="eastAsia"/>
          <w:sz w:val="28"/>
          <w:szCs w:val="28"/>
        </w:rPr>
        <w:t>第二章</w:t>
      </w:r>
      <w:r>
        <w:rPr>
          <w:rFonts w:hint="eastAsia"/>
          <w:sz w:val="28"/>
          <w:szCs w:val="28"/>
          <w:lang w:val="en-US" w:eastAsia="zh-CN"/>
        </w:rPr>
        <w:t xml:space="preserve">  </w:t>
      </w:r>
      <w:r>
        <w:rPr>
          <w:rFonts w:hint="eastAsia"/>
          <w:sz w:val="28"/>
          <w:szCs w:val="28"/>
        </w:rPr>
        <w:t>技术及商务要求</w:t>
      </w:r>
    </w:p>
    <w:p>
      <w:pPr>
        <w:rPr>
          <w:sz w:val="28"/>
          <w:szCs w:val="28"/>
        </w:rPr>
      </w:pPr>
      <w:r>
        <w:rPr>
          <w:rFonts w:hint="eastAsia"/>
          <w:sz w:val="28"/>
          <w:szCs w:val="28"/>
        </w:rPr>
        <w:t>第三章</w:t>
      </w:r>
      <w:r>
        <w:rPr>
          <w:rFonts w:hint="eastAsia"/>
          <w:sz w:val="28"/>
          <w:szCs w:val="28"/>
          <w:lang w:val="en-US" w:eastAsia="zh-CN"/>
        </w:rPr>
        <w:t xml:space="preserve">  </w:t>
      </w:r>
      <w:r>
        <w:rPr>
          <w:rFonts w:hint="eastAsia"/>
          <w:sz w:val="28"/>
          <w:szCs w:val="28"/>
        </w:rPr>
        <w:t>投标函格式</w:t>
      </w:r>
    </w:p>
    <w:p>
      <w:pPr>
        <w:rPr>
          <w:sz w:val="28"/>
          <w:szCs w:val="28"/>
        </w:rPr>
      </w:pPr>
      <w:r>
        <w:rPr>
          <w:rFonts w:hint="eastAsia"/>
          <w:sz w:val="28"/>
          <w:szCs w:val="28"/>
        </w:rPr>
        <w:t>第四章</w:t>
      </w:r>
      <w:r>
        <w:rPr>
          <w:rFonts w:hint="eastAsia"/>
          <w:sz w:val="28"/>
          <w:szCs w:val="28"/>
          <w:lang w:val="en-US" w:eastAsia="zh-CN"/>
        </w:rPr>
        <w:t xml:space="preserve">  </w:t>
      </w:r>
      <w:r>
        <w:rPr>
          <w:rFonts w:hint="eastAsia"/>
          <w:sz w:val="28"/>
          <w:szCs w:val="28"/>
        </w:rPr>
        <w:t>投标报价表</w:t>
      </w:r>
    </w:p>
    <w:p>
      <w:pPr>
        <w:rPr>
          <w:sz w:val="28"/>
          <w:szCs w:val="28"/>
        </w:rPr>
      </w:pPr>
      <w:r>
        <w:rPr>
          <w:rFonts w:hint="eastAsia"/>
          <w:sz w:val="28"/>
          <w:szCs w:val="28"/>
        </w:rPr>
        <w:t>第五章</w:t>
      </w:r>
      <w:r>
        <w:rPr>
          <w:rFonts w:hint="eastAsia"/>
          <w:sz w:val="28"/>
          <w:szCs w:val="28"/>
          <w:lang w:val="en-US" w:eastAsia="zh-CN"/>
        </w:rPr>
        <w:t xml:space="preserve">  </w:t>
      </w:r>
      <w:r>
        <w:rPr>
          <w:rFonts w:hint="eastAsia"/>
          <w:sz w:val="28"/>
          <w:szCs w:val="28"/>
        </w:rPr>
        <w:t>资格证明文件</w:t>
      </w:r>
    </w:p>
    <w:p>
      <w:pPr>
        <w:rPr>
          <w:sz w:val="28"/>
          <w:szCs w:val="28"/>
        </w:rPr>
      </w:pPr>
      <w:r>
        <w:rPr>
          <w:rFonts w:hint="eastAsia"/>
          <w:sz w:val="28"/>
          <w:szCs w:val="28"/>
        </w:rPr>
        <w:t>第六章</w:t>
      </w:r>
      <w:r>
        <w:rPr>
          <w:rFonts w:hint="eastAsia"/>
          <w:sz w:val="28"/>
          <w:szCs w:val="28"/>
          <w:lang w:val="en-US" w:eastAsia="zh-CN"/>
        </w:rPr>
        <w:t xml:space="preserve">  </w:t>
      </w:r>
      <w:r>
        <w:rPr>
          <w:rFonts w:hint="eastAsia"/>
          <w:sz w:val="28"/>
          <w:szCs w:val="28"/>
        </w:rPr>
        <w:t>评标原则及办法</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48"/>
          <w:szCs w:val="48"/>
        </w:rPr>
      </w:pPr>
    </w:p>
    <w:p>
      <w:pPr>
        <w:jc w:val="center"/>
        <w:rPr>
          <w:sz w:val="48"/>
          <w:szCs w:val="48"/>
        </w:rPr>
      </w:pPr>
      <w:r>
        <w:rPr>
          <w:rFonts w:hint="eastAsia"/>
          <w:sz w:val="48"/>
          <w:szCs w:val="48"/>
        </w:rPr>
        <w:t>招标文件</w:t>
      </w:r>
    </w:p>
    <w:p>
      <w:pPr>
        <w:rPr>
          <w:sz w:val="28"/>
          <w:szCs w:val="28"/>
        </w:rPr>
      </w:pPr>
    </w:p>
    <w:p>
      <w:pPr>
        <w:rPr>
          <w:sz w:val="28"/>
          <w:szCs w:val="28"/>
        </w:rPr>
      </w:pPr>
      <w:r>
        <w:rPr>
          <w:rFonts w:hint="eastAsia"/>
          <w:sz w:val="28"/>
          <w:szCs w:val="28"/>
        </w:rPr>
        <w:t>日期:2019年</w:t>
      </w:r>
      <w:r>
        <w:rPr>
          <w:rFonts w:hint="eastAsia"/>
          <w:sz w:val="28"/>
          <w:szCs w:val="28"/>
          <w:lang w:val="en-US" w:eastAsia="zh-CN"/>
        </w:rPr>
        <w:t>5</w:t>
      </w:r>
      <w:r>
        <w:rPr>
          <w:rFonts w:hint="eastAsia"/>
          <w:sz w:val="28"/>
          <w:szCs w:val="28"/>
        </w:rPr>
        <w:t>月</w:t>
      </w:r>
      <w:r>
        <w:rPr>
          <w:rFonts w:hint="eastAsia"/>
          <w:sz w:val="28"/>
          <w:szCs w:val="28"/>
          <w:lang w:val="en-US" w:eastAsia="zh-CN"/>
        </w:rPr>
        <w:t>31</w:t>
      </w:r>
      <w:r>
        <w:rPr>
          <w:rFonts w:hint="eastAsia"/>
          <w:sz w:val="28"/>
          <w:szCs w:val="28"/>
        </w:rPr>
        <w:t>日</w:t>
      </w:r>
    </w:p>
    <w:p>
      <w:pPr>
        <w:rPr>
          <w:sz w:val="28"/>
          <w:szCs w:val="28"/>
        </w:rPr>
      </w:pPr>
    </w:p>
    <w:p>
      <w:pPr>
        <w:rPr>
          <w:sz w:val="28"/>
          <w:szCs w:val="28"/>
        </w:rPr>
      </w:pPr>
      <w:r>
        <w:rPr>
          <w:rFonts w:hint="eastAsia"/>
          <w:sz w:val="28"/>
          <w:szCs w:val="28"/>
        </w:rPr>
        <w:t>招标内容简介：</w:t>
      </w:r>
    </w:p>
    <w:p>
      <w:pPr>
        <w:rPr>
          <w:rFonts w:hint="eastAsia" w:eastAsiaTheme="minorEastAsia"/>
          <w:sz w:val="28"/>
          <w:szCs w:val="28"/>
          <w:lang w:eastAsia="zh-CN"/>
        </w:rPr>
      </w:pPr>
      <w:r>
        <w:rPr>
          <w:rFonts w:hint="eastAsia"/>
          <w:sz w:val="28"/>
          <w:szCs w:val="28"/>
        </w:rPr>
        <w:t>1.项目名称：达州日报社融媒体指挥中心</w:t>
      </w:r>
      <w:r>
        <w:rPr>
          <w:rFonts w:hint="eastAsia"/>
          <w:sz w:val="28"/>
          <w:szCs w:val="28"/>
          <w:lang w:eastAsia="zh-CN"/>
        </w:rPr>
        <w:t>项目</w:t>
      </w:r>
    </w:p>
    <w:p>
      <w:pPr>
        <w:rPr>
          <w:sz w:val="28"/>
          <w:szCs w:val="28"/>
        </w:rPr>
      </w:pPr>
      <w:r>
        <w:rPr>
          <w:rFonts w:hint="eastAsia"/>
          <w:sz w:val="28"/>
          <w:szCs w:val="28"/>
        </w:rPr>
        <w:t>2.招标方式：公开招标</w:t>
      </w:r>
    </w:p>
    <w:p>
      <w:pPr>
        <w:rPr>
          <w:sz w:val="28"/>
          <w:szCs w:val="28"/>
        </w:rPr>
      </w:pPr>
      <w:r>
        <w:rPr>
          <w:rFonts w:hint="eastAsia"/>
          <w:sz w:val="28"/>
          <w:szCs w:val="28"/>
        </w:rPr>
        <w:t>3.招标文件发布时间：2019年</w:t>
      </w:r>
      <w:r>
        <w:rPr>
          <w:rFonts w:hint="eastAsia"/>
          <w:sz w:val="28"/>
          <w:szCs w:val="28"/>
          <w:lang w:val="en-US" w:eastAsia="zh-CN"/>
        </w:rPr>
        <w:t>6</w:t>
      </w:r>
      <w:r>
        <w:rPr>
          <w:rFonts w:hint="eastAsia"/>
          <w:sz w:val="28"/>
          <w:szCs w:val="28"/>
        </w:rPr>
        <w:t>月</w:t>
      </w:r>
      <w:r>
        <w:rPr>
          <w:rFonts w:hint="eastAsia"/>
          <w:sz w:val="28"/>
          <w:szCs w:val="28"/>
          <w:lang w:val="en-US" w:eastAsia="zh-CN"/>
        </w:rPr>
        <w:t>3</w:t>
      </w:r>
      <w:r>
        <w:rPr>
          <w:rFonts w:hint="eastAsia"/>
          <w:sz w:val="28"/>
          <w:szCs w:val="28"/>
        </w:rPr>
        <w:t>日至201</w:t>
      </w:r>
      <w:r>
        <w:rPr>
          <w:rFonts w:hint="eastAsia"/>
          <w:sz w:val="28"/>
          <w:szCs w:val="28"/>
          <w:lang w:val="en-US" w:eastAsia="zh-CN"/>
        </w:rPr>
        <w:t>9</w:t>
      </w:r>
      <w:r>
        <w:rPr>
          <w:rFonts w:hint="eastAsia"/>
          <w:sz w:val="28"/>
          <w:szCs w:val="28"/>
        </w:rPr>
        <w:t>年</w:t>
      </w:r>
      <w:r>
        <w:rPr>
          <w:rFonts w:hint="eastAsia"/>
          <w:sz w:val="28"/>
          <w:szCs w:val="28"/>
          <w:lang w:val="en-US" w:eastAsia="zh-CN"/>
        </w:rPr>
        <w:t>6</w:t>
      </w:r>
      <w:r>
        <w:rPr>
          <w:rFonts w:hint="eastAsia"/>
          <w:sz w:val="28"/>
          <w:szCs w:val="28"/>
        </w:rPr>
        <w:t>月1</w:t>
      </w:r>
      <w:r>
        <w:rPr>
          <w:rFonts w:hint="eastAsia"/>
          <w:sz w:val="28"/>
          <w:szCs w:val="28"/>
          <w:lang w:val="en-US" w:eastAsia="zh-CN"/>
        </w:rPr>
        <w:t>0</w:t>
      </w:r>
      <w:r>
        <w:rPr>
          <w:rFonts w:hint="eastAsia"/>
          <w:sz w:val="28"/>
          <w:szCs w:val="28"/>
        </w:rPr>
        <w:t>日</w:t>
      </w:r>
    </w:p>
    <w:p>
      <w:pPr>
        <w:rPr>
          <w:sz w:val="28"/>
          <w:szCs w:val="28"/>
        </w:rPr>
      </w:pPr>
      <w:r>
        <w:rPr>
          <w:rFonts w:hint="eastAsia"/>
          <w:sz w:val="28"/>
          <w:szCs w:val="28"/>
        </w:rPr>
        <w:t>4.投标截止时间： 2019年</w:t>
      </w:r>
      <w:r>
        <w:rPr>
          <w:rFonts w:hint="eastAsia"/>
          <w:sz w:val="28"/>
          <w:szCs w:val="28"/>
          <w:lang w:val="en-US" w:eastAsia="zh-CN"/>
        </w:rPr>
        <w:t>6</w:t>
      </w:r>
      <w:r>
        <w:rPr>
          <w:rFonts w:hint="eastAsia"/>
          <w:sz w:val="28"/>
          <w:szCs w:val="28"/>
        </w:rPr>
        <w:t>月</w:t>
      </w:r>
      <w:r>
        <w:rPr>
          <w:rFonts w:hint="eastAsia"/>
          <w:sz w:val="28"/>
          <w:szCs w:val="28"/>
          <w:lang w:val="en-US" w:eastAsia="zh-CN"/>
        </w:rPr>
        <w:t>10</w:t>
      </w:r>
      <w:r>
        <w:rPr>
          <w:rFonts w:hint="eastAsia"/>
          <w:sz w:val="28"/>
          <w:szCs w:val="28"/>
        </w:rPr>
        <w:t>日下午1</w:t>
      </w:r>
      <w:r>
        <w:rPr>
          <w:rFonts w:hint="eastAsia"/>
          <w:sz w:val="28"/>
          <w:szCs w:val="28"/>
          <w:lang w:val="en-US" w:eastAsia="zh-CN"/>
        </w:rPr>
        <w:t>7</w:t>
      </w:r>
      <w:r>
        <w:rPr>
          <w:rFonts w:hint="eastAsia"/>
          <w:sz w:val="28"/>
          <w:szCs w:val="28"/>
        </w:rPr>
        <w:t>：00</w:t>
      </w:r>
    </w:p>
    <w:p>
      <w:pPr>
        <w:rPr>
          <w:sz w:val="28"/>
          <w:szCs w:val="28"/>
        </w:rPr>
      </w:pPr>
      <w:r>
        <w:rPr>
          <w:rFonts w:hint="eastAsia"/>
          <w:sz w:val="28"/>
          <w:szCs w:val="28"/>
        </w:rPr>
        <w:t>5.开标时间：2019年</w:t>
      </w:r>
      <w:r>
        <w:rPr>
          <w:rFonts w:hint="eastAsia"/>
          <w:sz w:val="28"/>
          <w:szCs w:val="28"/>
          <w:lang w:val="en-US" w:eastAsia="zh-CN"/>
        </w:rPr>
        <w:t>6</w:t>
      </w:r>
      <w:r>
        <w:rPr>
          <w:rFonts w:hint="eastAsia"/>
          <w:sz w:val="28"/>
          <w:szCs w:val="28"/>
        </w:rPr>
        <w:t>月</w:t>
      </w:r>
      <w:r>
        <w:rPr>
          <w:rFonts w:hint="eastAsia"/>
          <w:sz w:val="28"/>
          <w:szCs w:val="28"/>
          <w:lang w:val="en-US" w:eastAsia="zh-CN"/>
        </w:rPr>
        <w:t>12</w:t>
      </w:r>
      <w:r>
        <w:rPr>
          <w:rFonts w:hint="eastAsia"/>
          <w:sz w:val="28"/>
          <w:szCs w:val="28"/>
        </w:rPr>
        <w:t>日下午15：00</w:t>
      </w:r>
    </w:p>
    <w:p>
      <w:pPr>
        <w:rPr>
          <w:sz w:val="28"/>
          <w:szCs w:val="28"/>
        </w:rPr>
      </w:pPr>
      <w:r>
        <w:rPr>
          <w:rFonts w:hint="eastAsia"/>
          <w:sz w:val="28"/>
          <w:szCs w:val="28"/>
        </w:rPr>
        <w:t>6.开标地点：达州日报社六楼会议室</w:t>
      </w:r>
    </w:p>
    <w:p>
      <w:pPr>
        <w:rPr>
          <w:sz w:val="28"/>
          <w:szCs w:val="28"/>
        </w:rPr>
      </w:pPr>
      <w:r>
        <w:rPr>
          <w:rFonts w:hint="eastAsia"/>
          <w:sz w:val="28"/>
          <w:szCs w:val="28"/>
        </w:rPr>
        <w:t>招标人： 达州日报社</w:t>
      </w:r>
    </w:p>
    <w:p>
      <w:pPr>
        <w:rPr>
          <w:sz w:val="28"/>
          <w:szCs w:val="28"/>
        </w:rPr>
      </w:pPr>
      <w:r>
        <w:rPr>
          <w:rFonts w:hint="eastAsia"/>
          <w:sz w:val="28"/>
          <w:szCs w:val="28"/>
        </w:rPr>
        <w:t>地址：通川区通川中路255号</w:t>
      </w:r>
    </w:p>
    <w:p>
      <w:pPr>
        <w:rPr>
          <w:sz w:val="28"/>
          <w:szCs w:val="28"/>
        </w:rPr>
      </w:pPr>
      <w:r>
        <w:rPr>
          <w:rFonts w:hint="eastAsia"/>
          <w:sz w:val="28"/>
          <w:szCs w:val="28"/>
        </w:rPr>
        <w:t>手机：18808182510</w:t>
      </w:r>
    </w:p>
    <w:p>
      <w:pPr>
        <w:rPr>
          <w:sz w:val="28"/>
          <w:szCs w:val="28"/>
        </w:rPr>
      </w:pPr>
      <w:r>
        <w:rPr>
          <w:rFonts w:hint="eastAsia"/>
          <w:sz w:val="28"/>
          <w:szCs w:val="28"/>
        </w:rPr>
        <w:t>联系人： 潘峰</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44"/>
          <w:szCs w:val="44"/>
        </w:rPr>
      </w:pPr>
      <w:r>
        <w:rPr>
          <w:rFonts w:hint="eastAsia"/>
          <w:sz w:val="44"/>
          <w:szCs w:val="44"/>
        </w:rPr>
        <w:t>第一章  投标人须知</w:t>
      </w:r>
    </w:p>
    <w:p>
      <w:pPr>
        <w:rPr>
          <w:sz w:val="28"/>
          <w:szCs w:val="28"/>
        </w:rPr>
      </w:pPr>
    </w:p>
    <w:p>
      <w:pPr>
        <w:ind w:firstLine="560" w:firstLineChars="200"/>
        <w:rPr>
          <w:sz w:val="28"/>
          <w:szCs w:val="28"/>
        </w:rPr>
      </w:pPr>
      <w:r>
        <w:rPr>
          <w:rFonts w:hint="eastAsia"/>
          <w:sz w:val="28"/>
          <w:szCs w:val="28"/>
        </w:rPr>
        <w:t>一、合格投标人的范围</w:t>
      </w:r>
    </w:p>
    <w:p>
      <w:pPr>
        <w:ind w:firstLine="560" w:firstLineChars="200"/>
        <w:rPr>
          <w:sz w:val="28"/>
          <w:szCs w:val="28"/>
        </w:rPr>
      </w:pPr>
      <w:r>
        <w:rPr>
          <w:rFonts w:hint="eastAsia"/>
          <w:sz w:val="28"/>
          <w:szCs w:val="28"/>
        </w:rPr>
        <w:t>本采购项目采用公开招标方式招标，有兴趣参与本项目投标的系统集成商、制造商或其特约经销商均认为是合格的投标人。</w:t>
      </w:r>
    </w:p>
    <w:p>
      <w:pPr>
        <w:ind w:firstLine="560" w:firstLineChars="200"/>
        <w:rPr>
          <w:sz w:val="28"/>
          <w:szCs w:val="28"/>
        </w:rPr>
      </w:pPr>
      <w:r>
        <w:rPr>
          <w:rFonts w:hint="eastAsia"/>
          <w:sz w:val="28"/>
          <w:szCs w:val="28"/>
        </w:rPr>
        <w:t>二、投标要则</w:t>
      </w:r>
    </w:p>
    <w:p>
      <w:pPr>
        <w:ind w:firstLine="560" w:firstLineChars="200"/>
        <w:rPr>
          <w:sz w:val="28"/>
          <w:szCs w:val="28"/>
        </w:rPr>
      </w:pPr>
      <w:r>
        <w:rPr>
          <w:rFonts w:hint="eastAsia"/>
          <w:sz w:val="28"/>
          <w:szCs w:val="28"/>
        </w:rPr>
        <w:t>1．投标人应提供符合招标文件要求的货物，并负责运输到招标人指定地点。</w:t>
      </w:r>
    </w:p>
    <w:p>
      <w:pPr>
        <w:ind w:firstLine="560" w:firstLineChars="200"/>
        <w:rPr>
          <w:sz w:val="28"/>
          <w:szCs w:val="28"/>
        </w:rPr>
      </w:pPr>
      <w:r>
        <w:rPr>
          <w:rFonts w:hint="eastAsia"/>
          <w:sz w:val="28"/>
          <w:szCs w:val="28"/>
        </w:rPr>
        <w:t>2. 投标人应仔细阅读招标文件所有条款，并严格按照招标文件的要求编制投标书。没有对招标文件各方面都作出实质性响应将被视为废标。</w:t>
      </w:r>
    </w:p>
    <w:p>
      <w:pPr>
        <w:ind w:firstLine="560" w:firstLineChars="200"/>
        <w:rPr>
          <w:sz w:val="28"/>
          <w:szCs w:val="28"/>
        </w:rPr>
      </w:pPr>
      <w:r>
        <w:rPr>
          <w:rFonts w:hint="eastAsia"/>
          <w:sz w:val="28"/>
          <w:szCs w:val="28"/>
        </w:rPr>
        <w:t>3. 投标人要提供本次招标项目要求的货物、服务或其任何一部分时不受第三方提出关于侵犯专利权、商标权或工业涉及权的指控。如果任何第三方提出侵权指控，中标人须与第三方交涉并承担可能发生的一切法律责任和费用。</w:t>
      </w:r>
    </w:p>
    <w:p>
      <w:pPr>
        <w:ind w:firstLine="560" w:firstLineChars="200"/>
        <w:rPr>
          <w:sz w:val="28"/>
          <w:szCs w:val="28"/>
        </w:rPr>
      </w:pPr>
      <w:r>
        <w:rPr>
          <w:rFonts w:hint="eastAsia"/>
          <w:sz w:val="28"/>
          <w:szCs w:val="28"/>
        </w:rPr>
        <w:t>三、投标费用</w:t>
      </w:r>
    </w:p>
    <w:p>
      <w:pPr>
        <w:ind w:firstLine="560" w:firstLineChars="200"/>
        <w:rPr>
          <w:sz w:val="28"/>
          <w:szCs w:val="28"/>
        </w:rPr>
      </w:pPr>
      <w:r>
        <w:rPr>
          <w:rFonts w:hint="eastAsia"/>
          <w:sz w:val="28"/>
          <w:szCs w:val="28"/>
        </w:rPr>
        <w:t>投标人应承担所有与准备和参加投标有关的费用，招标人在任何情况下均无义务和责任承担这些费用。</w:t>
      </w:r>
    </w:p>
    <w:p>
      <w:pPr>
        <w:ind w:firstLine="560" w:firstLineChars="200"/>
        <w:rPr>
          <w:sz w:val="28"/>
          <w:szCs w:val="28"/>
        </w:rPr>
      </w:pPr>
      <w:r>
        <w:rPr>
          <w:rFonts w:hint="eastAsia"/>
          <w:sz w:val="28"/>
          <w:szCs w:val="28"/>
        </w:rPr>
        <w:t>四、投标文件的编制</w:t>
      </w:r>
    </w:p>
    <w:p>
      <w:pPr>
        <w:ind w:firstLine="560" w:firstLineChars="200"/>
        <w:rPr>
          <w:sz w:val="28"/>
          <w:szCs w:val="28"/>
        </w:rPr>
      </w:pPr>
      <w:r>
        <w:rPr>
          <w:rFonts w:hint="eastAsia"/>
          <w:sz w:val="28"/>
          <w:szCs w:val="28"/>
        </w:rPr>
        <w:t>1. 投标人编写的投标文件应包括下列部分：</w:t>
      </w:r>
    </w:p>
    <w:p>
      <w:pPr>
        <w:ind w:firstLine="560" w:firstLineChars="200"/>
        <w:rPr>
          <w:sz w:val="28"/>
          <w:szCs w:val="28"/>
        </w:rPr>
      </w:pPr>
      <w:r>
        <w:rPr>
          <w:rFonts w:hint="eastAsia"/>
          <w:sz w:val="28"/>
          <w:szCs w:val="28"/>
        </w:rPr>
        <w:t>（1） 投标函，投标报价表；</w:t>
      </w:r>
    </w:p>
    <w:p>
      <w:pPr>
        <w:ind w:firstLine="560" w:firstLineChars="200"/>
        <w:rPr>
          <w:sz w:val="28"/>
          <w:szCs w:val="28"/>
        </w:rPr>
      </w:pPr>
      <w:r>
        <w:rPr>
          <w:rFonts w:hint="eastAsia"/>
          <w:sz w:val="28"/>
          <w:szCs w:val="28"/>
        </w:rPr>
        <w:t>（2） 资格证明文件，证明投标人中标后有能力履行合同及证明投标人提供的货物及其服务是合格的货物和服务且符合招标文件规定；</w:t>
      </w:r>
    </w:p>
    <w:p>
      <w:pPr>
        <w:ind w:firstLine="560" w:firstLineChars="200"/>
        <w:rPr>
          <w:sz w:val="28"/>
          <w:szCs w:val="28"/>
        </w:rPr>
      </w:pPr>
      <w:r>
        <w:rPr>
          <w:rFonts w:hint="eastAsia"/>
          <w:sz w:val="28"/>
          <w:szCs w:val="28"/>
        </w:rPr>
        <w:t>2. 投标人应完整地填写招标文件中的投标函和投标报价表，说明所提供的货物和服务的数量及价格。</w:t>
      </w:r>
    </w:p>
    <w:p>
      <w:pPr>
        <w:ind w:firstLine="560" w:firstLineChars="200"/>
        <w:rPr>
          <w:sz w:val="28"/>
          <w:szCs w:val="28"/>
        </w:rPr>
      </w:pPr>
      <w:r>
        <w:rPr>
          <w:rFonts w:hint="eastAsia"/>
          <w:sz w:val="28"/>
          <w:szCs w:val="28"/>
        </w:rPr>
        <w:t>4. 投标报价：投标人应在投标文件中的投标报价表上标明，拟提供货物的单价和总价。任何有选择的报价将不予接受，货物只允许有一个价格，报价栏项目中如出现数字0，视报价为零；如出现空白，视为未响应。对含有未响应项目的投标，招标人有权当作废标处理。</w:t>
      </w:r>
    </w:p>
    <w:p>
      <w:pPr>
        <w:ind w:firstLine="560" w:firstLineChars="200"/>
        <w:rPr>
          <w:sz w:val="28"/>
          <w:szCs w:val="28"/>
        </w:rPr>
      </w:pPr>
      <w:r>
        <w:rPr>
          <w:rFonts w:hint="eastAsia"/>
          <w:sz w:val="28"/>
          <w:szCs w:val="28"/>
        </w:rPr>
        <w:t>（1） 投标报价表的价格应按下列方式分开填写：投标总价、分类报价；</w:t>
      </w:r>
    </w:p>
    <w:p>
      <w:pPr>
        <w:ind w:firstLine="560" w:firstLineChars="200"/>
        <w:rPr>
          <w:sz w:val="28"/>
          <w:szCs w:val="28"/>
        </w:rPr>
      </w:pPr>
      <w:r>
        <w:rPr>
          <w:rFonts w:hint="eastAsia"/>
          <w:sz w:val="28"/>
          <w:szCs w:val="28"/>
        </w:rPr>
        <w:t>（2） 投标总价包括所有费用，不能在投标总价之外还有其他费用出现；</w:t>
      </w:r>
    </w:p>
    <w:p>
      <w:pPr>
        <w:ind w:firstLine="560" w:firstLineChars="200"/>
        <w:rPr>
          <w:sz w:val="28"/>
          <w:szCs w:val="28"/>
        </w:rPr>
      </w:pPr>
      <w:r>
        <w:rPr>
          <w:rFonts w:hint="eastAsia"/>
          <w:sz w:val="28"/>
          <w:szCs w:val="28"/>
        </w:rPr>
        <w:t>（3） 投标人按照要求报价，报价单应由法定代表人或其授权代表签字并加盖公章予以确认；</w:t>
      </w:r>
    </w:p>
    <w:p>
      <w:pPr>
        <w:ind w:firstLine="560" w:firstLineChars="200"/>
        <w:rPr>
          <w:sz w:val="28"/>
          <w:szCs w:val="28"/>
        </w:rPr>
      </w:pPr>
      <w:r>
        <w:rPr>
          <w:rFonts w:hint="eastAsia"/>
          <w:sz w:val="28"/>
          <w:szCs w:val="28"/>
        </w:rPr>
        <w:t>（4） 投标报价表中标明的价格在合同执行过程中是固定不变的，不得以任何理由予以变更。</w:t>
      </w:r>
    </w:p>
    <w:p>
      <w:pPr>
        <w:ind w:firstLine="560" w:firstLineChars="200"/>
        <w:rPr>
          <w:sz w:val="28"/>
          <w:szCs w:val="28"/>
        </w:rPr>
      </w:pPr>
      <w:r>
        <w:rPr>
          <w:rFonts w:hint="eastAsia"/>
          <w:sz w:val="28"/>
          <w:szCs w:val="28"/>
        </w:rPr>
        <w:t>5. 资格证明文件：包括证明投标人资格的文件以及证明货物合格性和符合招标文件规定的文件。</w:t>
      </w:r>
    </w:p>
    <w:p>
      <w:pPr>
        <w:ind w:firstLine="560" w:firstLineChars="200"/>
        <w:rPr>
          <w:sz w:val="28"/>
          <w:szCs w:val="28"/>
        </w:rPr>
      </w:pPr>
      <w:r>
        <w:rPr>
          <w:rFonts w:hint="eastAsia"/>
          <w:sz w:val="28"/>
          <w:szCs w:val="28"/>
        </w:rPr>
        <w:t>（1） 投标人应提交证明其有资格参加投标和中标后有能力履行合同的文件，并作为其投标书的一部分。证明文件应至少包括企业法人营业执照（复印件加盖公章）、代理证（复印件加盖公章）、法定代表人授权书。</w:t>
      </w:r>
    </w:p>
    <w:p>
      <w:pPr>
        <w:ind w:firstLine="560" w:firstLineChars="200"/>
        <w:rPr>
          <w:sz w:val="28"/>
          <w:szCs w:val="28"/>
        </w:rPr>
      </w:pPr>
      <w:r>
        <w:rPr>
          <w:rFonts w:hint="eastAsia"/>
          <w:sz w:val="28"/>
          <w:szCs w:val="28"/>
        </w:rPr>
        <w:t>（2） 投标人应提交招标方要求提供的所有货物及其服务合格性以及符合招标文件规定的证明文件，并作为其投标文件的一部分。如果投标人按照合同提供的货物不是投标人自己制造的，投标人应得到货物制造商出具的正式投标授权函。</w:t>
      </w:r>
    </w:p>
    <w:p>
      <w:pPr>
        <w:ind w:firstLine="560" w:firstLineChars="200"/>
        <w:rPr>
          <w:sz w:val="28"/>
          <w:szCs w:val="28"/>
        </w:rPr>
      </w:pPr>
      <w:r>
        <w:rPr>
          <w:rFonts w:hint="eastAsia"/>
          <w:sz w:val="28"/>
          <w:szCs w:val="28"/>
        </w:rPr>
        <w:t>6. 投标书的式样和签署：</w:t>
      </w:r>
    </w:p>
    <w:p>
      <w:pPr>
        <w:ind w:firstLine="560" w:firstLineChars="200"/>
        <w:rPr>
          <w:sz w:val="28"/>
          <w:szCs w:val="28"/>
        </w:rPr>
      </w:pPr>
      <w:r>
        <w:rPr>
          <w:rFonts w:hint="eastAsia"/>
          <w:sz w:val="28"/>
          <w:szCs w:val="28"/>
        </w:rPr>
        <w:t>（1）投标人应按照要求，准备投标文件一式五份（一份正本，四份副本）。每套投标书须清楚地标明“正本”或“副本”，一旦正本和副本不符，以正本为准。另外，投标函、投标报价表、营业执照（复印件加盖公章）以及投标人授权代表的“授权委托书”一式一份封装于唱标所用的信封中。</w:t>
      </w:r>
    </w:p>
    <w:p>
      <w:pPr>
        <w:ind w:firstLine="560" w:firstLineChars="200"/>
        <w:rPr>
          <w:sz w:val="28"/>
          <w:szCs w:val="28"/>
        </w:rPr>
      </w:pPr>
      <w:r>
        <w:rPr>
          <w:rFonts w:hint="eastAsia"/>
          <w:sz w:val="28"/>
          <w:szCs w:val="28"/>
        </w:rPr>
        <w:t>（2）投标人的正本和所有的副本均需打印并由投标人或经投标人授权并对投标人有约束力的代表签字。除没有修改过的印刷文献外，投标书的每一页都应由投标人或其授权代表签字。</w:t>
      </w:r>
    </w:p>
    <w:p>
      <w:pPr>
        <w:ind w:firstLine="560" w:firstLineChars="200"/>
        <w:rPr>
          <w:sz w:val="28"/>
          <w:szCs w:val="28"/>
        </w:rPr>
      </w:pPr>
      <w:r>
        <w:rPr>
          <w:rFonts w:hint="eastAsia"/>
          <w:sz w:val="28"/>
          <w:szCs w:val="28"/>
        </w:rPr>
        <w:t>（3）除投标人对错处做必要修改外，投标文件不得行间插字、涂改和增删，如果修改错漏处，必须由投标人或其授权代表签字和盖章。</w:t>
      </w:r>
    </w:p>
    <w:p>
      <w:pPr>
        <w:ind w:firstLine="560" w:firstLineChars="200"/>
        <w:rPr>
          <w:sz w:val="28"/>
          <w:szCs w:val="28"/>
        </w:rPr>
      </w:pPr>
      <w:r>
        <w:rPr>
          <w:rFonts w:hint="eastAsia"/>
          <w:sz w:val="28"/>
          <w:szCs w:val="28"/>
        </w:rPr>
        <w:t>五、投标文件的递交</w:t>
      </w:r>
    </w:p>
    <w:p>
      <w:pPr>
        <w:ind w:firstLine="560" w:firstLineChars="200"/>
        <w:rPr>
          <w:sz w:val="28"/>
          <w:szCs w:val="28"/>
        </w:rPr>
      </w:pPr>
      <w:r>
        <w:rPr>
          <w:rFonts w:hint="eastAsia"/>
          <w:sz w:val="28"/>
          <w:szCs w:val="28"/>
        </w:rPr>
        <w:t>1. 投标文件的密封和标记：投标人应将投标文件正本和所有副本用单独的信封密封，且在信封上标明“正本”、“副本”字样，这些信封再封装在一个外信封中。</w:t>
      </w:r>
    </w:p>
    <w:p>
      <w:pPr>
        <w:ind w:firstLine="560" w:firstLineChars="200"/>
        <w:rPr>
          <w:sz w:val="28"/>
          <w:szCs w:val="28"/>
        </w:rPr>
      </w:pPr>
      <w:r>
        <w:rPr>
          <w:rFonts w:hint="eastAsia"/>
          <w:sz w:val="28"/>
          <w:szCs w:val="28"/>
        </w:rPr>
        <w:t>2. 内外成封套均应：</w:t>
      </w:r>
    </w:p>
    <w:p>
      <w:pPr>
        <w:ind w:firstLine="560" w:firstLineChars="200"/>
        <w:rPr>
          <w:sz w:val="28"/>
          <w:szCs w:val="28"/>
        </w:rPr>
      </w:pPr>
      <w:r>
        <w:rPr>
          <w:rFonts w:hint="eastAsia"/>
          <w:sz w:val="28"/>
          <w:szCs w:val="28"/>
        </w:rPr>
        <w:t>（1） 按招标邀请函注明的招标人地址投递至招标人并得到招标人确认；</w:t>
      </w:r>
    </w:p>
    <w:p>
      <w:pPr>
        <w:ind w:firstLine="560" w:firstLineChars="200"/>
        <w:rPr>
          <w:sz w:val="28"/>
          <w:szCs w:val="28"/>
        </w:rPr>
      </w:pPr>
      <w:r>
        <w:rPr>
          <w:rFonts w:hint="eastAsia"/>
          <w:sz w:val="28"/>
          <w:szCs w:val="28"/>
        </w:rPr>
        <w:t>（2） 注明以下内容：</w:t>
      </w:r>
    </w:p>
    <w:p>
      <w:pPr>
        <w:ind w:firstLine="560" w:firstLineChars="200"/>
        <w:rPr>
          <w:rFonts w:hint="eastAsia"/>
          <w:sz w:val="28"/>
          <w:szCs w:val="28"/>
          <w:lang w:val="en-US" w:eastAsia="zh-CN"/>
        </w:rPr>
      </w:pPr>
      <w:r>
        <w:rPr>
          <w:rFonts w:hint="eastAsia"/>
          <w:sz w:val="28"/>
          <w:szCs w:val="28"/>
        </w:rPr>
        <w:t>投标项目名称：达州日报社融媒体指挥中心</w:t>
      </w:r>
    </w:p>
    <w:p>
      <w:pPr>
        <w:ind w:firstLine="560" w:firstLineChars="200"/>
        <w:rPr>
          <w:sz w:val="28"/>
          <w:szCs w:val="28"/>
        </w:rPr>
      </w:pPr>
      <w:r>
        <w:rPr>
          <w:rFonts w:hint="eastAsia"/>
          <w:sz w:val="28"/>
          <w:szCs w:val="28"/>
        </w:rPr>
        <w:t>投标人：XXXX公司 </w:t>
      </w:r>
    </w:p>
    <w:p>
      <w:pPr>
        <w:ind w:firstLine="560" w:firstLineChars="200"/>
        <w:rPr>
          <w:sz w:val="28"/>
          <w:szCs w:val="28"/>
        </w:rPr>
      </w:pPr>
      <w:r>
        <w:rPr>
          <w:rFonts w:hint="eastAsia"/>
          <w:sz w:val="28"/>
          <w:szCs w:val="28"/>
        </w:rPr>
        <w:t>3. 封口处应注明：“2019年</w:t>
      </w:r>
      <w:r>
        <w:rPr>
          <w:rFonts w:hint="eastAsia"/>
          <w:sz w:val="28"/>
          <w:szCs w:val="28"/>
          <w:lang w:val="en-US" w:eastAsia="zh-CN"/>
        </w:rPr>
        <w:t>6</w:t>
      </w:r>
      <w:r>
        <w:rPr>
          <w:rFonts w:hint="eastAsia"/>
          <w:sz w:val="28"/>
          <w:szCs w:val="28"/>
        </w:rPr>
        <w:t>月1</w:t>
      </w:r>
      <w:r>
        <w:rPr>
          <w:rFonts w:hint="eastAsia"/>
          <w:sz w:val="28"/>
          <w:szCs w:val="28"/>
          <w:lang w:val="en-US" w:eastAsia="zh-CN"/>
        </w:rPr>
        <w:t>2</w:t>
      </w:r>
      <w:r>
        <w:rPr>
          <w:rFonts w:hint="eastAsia"/>
          <w:sz w:val="28"/>
          <w:szCs w:val="28"/>
        </w:rPr>
        <w:t>日1</w:t>
      </w:r>
      <w:r>
        <w:rPr>
          <w:rFonts w:hint="eastAsia"/>
          <w:sz w:val="28"/>
          <w:szCs w:val="28"/>
          <w:lang w:val="en-US" w:eastAsia="zh-CN"/>
        </w:rPr>
        <w:t>5</w:t>
      </w:r>
      <w:r>
        <w:rPr>
          <w:rFonts w:hint="eastAsia"/>
          <w:sz w:val="28"/>
          <w:szCs w:val="28"/>
        </w:rPr>
        <w:t>：00时前不得启封”的字样及盖上投标公司印章。</w:t>
      </w:r>
    </w:p>
    <w:p>
      <w:pPr>
        <w:ind w:firstLine="560" w:firstLineChars="200"/>
        <w:rPr>
          <w:sz w:val="28"/>
          <w:szCs w:val="28"/>
        </w:rPr>
      </w:pPr>
      <w:r>
        <w:rPr>
          <w:rFonts w:hint="eastAsia"/>
          <w:sz w:val="28"/>
          <w:szCs w:val="28"/>
        </w:rPr>
        <w:t>4. 投标截止日期：招标人收到投标文件的时间不得迟于招标公告规定的截止时间。</w:t>
      </w:r>
    </w:p>
    <w:p>
      <w:pPr>
        <w:ind w:firstLine="560" w:firstLineChars="200"/>
        <w:rPr>
          <w:sz w:val="28"/>
          <w:szCs w:val="28"/>
        </w:rPr>
      </w:pPr>
      <w:r>
        <w:rPr>
          <w:rFonts w:hint="eastAsia"/>
          <w:sz w:val="28"/>
          <w:szCs w:val="28"/>
        </w:rPr>
        <w:t>六、开标、评标</w:t>
      </w:r>
    </w:p>
    <w:p>
      <w:pPr>
        <w:ind w:firstLine="560" w:firstLineChars="200"/>
        <w:rPr>
          <w:sz w:val="28"/>
          <w:szCs w:val="28"/>
        </w:rPr>
      </w:pPr>
      <w:r>
        <w:rPr>
          <w:rFonts w:hint="eastAsia"/>
          <w:sz w:val="28"/>
          <w:szCs w:val="28"/>
        </w:rPr>
        <w:t>1.本次开标及评标，将在达州日报社纪委监察部门的严格监督下，以公开公平公正的原则进行。投标人不必到场，由招标人评标委员会开标并取得评标结果，上报达州日报社党委同意后公示。</w:t>
      </w:r>
    </w:p>
    <w:p>
      <w:pPr>
        <w:ind w:firstLine="560" w:firstLineChars="200"/>
        <w:rPr>
          <w:sz w:val="28"/>
          <w:szCs w:val="28"/>
        </w:rPr>
      </w:pPr>
      <w:r>
        <w:rPr>
          <w:rFonts w:hint="eastAsia"/>
          <w:sz w:val="28"/>
          <w:szCs w:val="28"/>
        </w:rPr>
        <w:t>2.评标委员会：由招标人组建。</w:t>
      </w:r>
    </w:p>
    <w:p>
      <w:pPr>
        <w:ind w:firstLine="560" w:firstLineChars="200"/>
        <w:rPr>
          <w:sz w:val="28"/>
          <w:szCs w:val="28"/>
        </w:rPr>
      </w:pPr>
      <w:r>
        <w:rPr>
          <w:rFonts w:hint="eastAsia"/>
          <w:sz w:val="28"/>
          <w:szCs w:val="28"/>
        </w:rPr>
        <w:t>3.评标方法：综合评标法</w:t>
      </w:r>
    </w:p>
    <w:tbl>
      <w:tblPr>
        <w:tblStyle w:val="5"/>
        <w:tblW w:w="8380" w:type="dxa"/>
        <w:tblInd w:w="0" w:type="dxa"/>
        <w:shd w:val="clear" w:color="auto" w:fill="FAF6F9"/>
        <w:tblLayout w:type="fixed"/>
        <w:tblCellMar>
          <w:top w:w="15" w:type="dxa"/>
          <w:left w:w="15" w:type="dxa"/>
          <w:bottom w:w="15" w:type="dxa"/>
          <w:right w:w="15" w:type="dxa"/>
        </w:tblCellMar>
      </w:tblPr>
      <w:tblGrid>
        <w:gridCol w:w="2162"/>
        <w:gridCol w:w="6218"/>
      </w:tblGrid>
      <w:tr>
        <w:tblPrEx>
          <w:shd w:val="clear" w:color="auto" w:fill="FAF6F9"/>
          <w:tblLayout w:type="fixed"/>
          <w:tblCellMar>
            <w:top w:w="15" w:type="dxa"/>
            <w:left w:w="15" w:type="dxa"/>
            <w:bottom w:w="15" w:type="dxa"/>
            <w:right w:w="15" w:type="dxa"/>
          </w:tblCellMar>
        </w:tblPrEx>
        <w:trPr>
          <w:trHeight w:val="588" w:hRule="atLeast"/>
        </w:trPr>
        <w:tc>
          <w:tcPr>
            <w:tcW w:w="2162"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评比因素</w:t>
            </w:r>
          </w:p>
        </w:tc>
        <w:tc>
          <w:tcPr>
            <w:tcW w:w="6218"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权重</w:t>
            </w:r>
          </w:p>
        </w:tc>
      </w:tr>
      <w:tr>
        <w:tblPrEx>
          <w:tblLayout w:type="fixed"/>
          <w:tblCellMar>
            <w:top w:w="15" w:type="dxa"/>
            <w:left w:w="15" w:type="dxa"/>
            <w:bottom w:w="15" w:type="dxa"/>
            <w:right w:w="15" w:type="dxa"/>
          </w:tblCellMar>
        </w:tblPrEx>
        <w:trPr>
          <w:trHeight w:val="588" w:hRule="atLeast"/>
        </w:trPr>
        <w:tc>
          <w:tcPr>
            <w:tcW w:w="2162"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价格部分</w:t>
            </w:r>
          </w:p>
        </w:tc>
        <w:tc>
          <w:tcPr>
            <w:tcW w:w="6218"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 40分</w:t>
            </w:r>
          </w:p>
        </w:tc>
      </w:tr>
      <w:tr>
        <w:tblPrEx>
          <w:tblLayout w:type="fixed"/>
          <w:tblCellMar>
            <w:top w:w="15" w:type="dxa"/>
            <w:left w:w="15" w:type="dxa"/>
            <w:bottom w:w="15" w:type="dxa"/>
            <w:right w:w="15" w:type="dxa"/>
          </w:tblCellMar>
        </w:tblPrEx>
        <w:trPr>
          <w:trHeight w:val="588" w:hRule="atLeast"/>
        </w:trPr>
        <w:tc>
          <w:tcPr>
            <w:tcW w:w="2162"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商务部分</w:t>
            </w:r>
          </w:p>
        </w:tc>
        <w:tc>
          <w:tcPr>
            <w:tcW w:w="6218"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 20分</w:t>
            </w:r>
          </w:p>
        </w:tc>
      </w:tr>
      <w:tr>
        <w:tblPrEx>
          <w:tblLayout w:type="fixed"/>
          <w:tblCellMar>
            <w:top w:w="15" w:type="dxa"/>
            <w:left w:w="15" w:type="dxa"/>
            <w:bottom w:w="15" w:type="dxa"/>
            <w:right w:w="15" w:type="dxa"/>
          </w:tblCellMar>
        </w:tblPrEx>
        <w:trPr>
          <w:trHeight w:val="588" w:hRule="atLeast"/>
        </w:trPr>
        <w:tc>
          <w:tcPr>
            <w:tcW w:w="2162"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技术部分</w:t>
            </w:r>
          </w:p>
        </w:tc>
        <w:tc>
          <w:tcPr>
            <w:tcW w:w="6218"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 40分</w:t>
            </w:r>
          </w:p>
        </w:tc>
      </w:tr>
      <w:tr>
        <w:tblPrEx>
          <w:tblLayout w:type="fixed"/>
          <w:tblCellMar>
            <w:top w:w="15" w:type="dxa"/>
            <w:left w:w="15" w:type="dxa"/>
            <w:bottom w:w="15" w:type="dxa"/>
            <w:right w:w="15" w:type="dxa"/>
          </w:tblCellMar>
        </w:tblPrEx>
        <w:trPr>
          <w:trHeight w:val="604" w:hRule="atLeast"/>
        </w:trPr>
        <w:tc>
          <w:tcPr>
            <w:tcW w:w="2162"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合计</w:t>
            </w:r>
          </w:p>
        </w:tc>
        <w:tc>
          <w:tcPr>
            <w:tcW w:w="6218"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100分或100%</w:t>
            </w:r>
          </w:p>
        </w:tc>
      </w:tr>
    </w:tbl>
    <w:p>
      <w:pPr>
        <w:ind w:firstLine="560" w:firstLineChars="200"/>
        <w:rPr>
          <w:sz w:val="28"/>
          <w:szCs w:val="28"/>
        </w:rPr>
      </w:pPr>
      <w:r>
        <w:rPr>
          <w:rFonts w:hint="eastAsia"/>
          <w:sz w:val="28"/>
          <w:szCs w:val="28"/>
        </w:rPr>
        <w:t>4、评分标准：</w:t>
      </w:r>
    </w:p>
    <w:p>
      <w:pPr>
        <w:ind w:firstLine="560" w:firstLineChars="200"/>
        <w:rPr>
          <w:sz w:val="28"/>
          <w:szCs w:val="28"/>
        </w:rPr>
      </w:pPr>
      <w:r>
        <w:rPr>
          <w:rFonts w:hint="eastAsia"/>
          <w:sz w:val="28"/>
          <w:szCs w:val="28"/>
        </w:rPr>
        <w:t>Ø 本次招标评标采用为综合评分法，即在满足招标文件实质性要求前提下，按招标文件中规定的评分标准和各项因素进行综合评审后，以评标总得分最高的投标人作为中标候选人。</w:t>
      </w:r>
    </w:p>
    <w:p>
      <w:pPr>
        <w:ind w:firstLine="560" w:firstLineChars="200"/>
        <w:rPr>
          <w:sz w:val="28"/>
          <w:szCs w:val="28"/>
        </w:rPr>
      </w:pPr>
      <w:r>
        <w:rPr>
          <w:rFonts w:hint="eastAsia"/>
          <w:sz w:val="28"/>
          <w:szCs w:val="28"/>
        </w:rPr>
        <w:t>Ø 评标委员会各成员独立对每个进入打分程序的有效投标人的标书技术和资质部分以打分的形式进行评审和评价。</w:t>
      </w:r>
    </w:p>
    <w:p>
      <w:pPr>
        <w:ind w:firstLine="560" w:firstLineChars="200"/>
        <w:rPr>
          <w:sz w:val="28"/>
          <w:szCs w:val="28"/>
        </w:rPr>
      </w:pPr>
      <w:r>
        <w:rPr>
          <w:rFonts w:hint="eastAsia"/>
          <w:sz w:val="28"/>
          <w:szCs w:val="28"/>
        </w:rPr>
        <w:t>Ø 对评委的评分（除价格分外）进行统计汇总并算术平均，计算出每个投标人的得分，加上价格得分即为每个投标人的评标总得分。</w:t>
      </w:r>
    </w:p>
    <w:p>
      <w:pPr>
        <w:ind w:firstLine="560" w:firstLineChars="200"/>
        <w:rPr>
          <w:sz w:val="28"/>
          <w:szCs w:val="28"/>
        </w:rPr>
      </w:pPr>
      <w:r>
        <w:rPr>
          <w:rFonts w:hint="eastAsia"/>
          <w:sz w:val="28"/>
          <w:szCs w:val="28"/>
        </w:rPr>
        <w:t>Ø 如出现评标总得分最高的投标人有两个或两个以上的，以投标报价较低者优先作为中标候选人，如果投标报价也相同的，则由公证或监察机构组织以抽签方式确定中标候选人。</w:t>
      </w:r>
    </w:p>
    <w:p>
      <w:pPr>
        <w:ind w:firstLine="560" w:firstLineChars="200"/>
        <w:rPr>
          <w:sz w:val="28"/>
          <w:szCs w:val="28"/>
        </w:rPr>
      </w:pPr>
      <w:r>
        <w:rPr>
          <w:rFonts w:hint="eastAsia"/>
          <w:sz w:val="28"/>
          <w:szCs w:val="28"/>
        </w:rPr>
        <w:t>七、中标通知</w:t>
      </w:r>
    </w:p>
    <w:p>
      <w:pPr>
        <w:ind w:firstLine="560" w:firstLineChars="200"/>
        <w:rPr>
          <w:sz w:val="28"/>
          <w:szCs w:val="28"/>
        </w:rPr>
      </w:pPr>
      <w:r>
        <w:rPr>
          <w:rFonts w:hint="eastAsia"/>
          <w:sz w:val="28"/>
          <w:szCs w:val="28"/>
        </w:rPr>
        <w:t>评标结束后，招标人以书面形式通知中标人。</w:t>
      </w:r>
    </w:p>
    <w:p>
      <w:pPr>
        <w:ind w:firstLine="560" w:firstLineChars="200"/>
        <w:rPr>
          <w:sz w:val="28"/>
          <w:szCs w:val="28"/>
        </w:rPr>
      </w:pPr>
      <w:r>
        <w:rPr>
          <w:rFonts w:hint="eastAsia"/>
          <w:sz w:val="28"/>
          <w:szCs w:val="28"/>
        </w:rPr>
        <w:t>八、授予合同</w:t>
      </w:r>
    </w:p>
    <w:p>
      <w:pPr>
        <w:ind w:firstLine="560" w:firstLineChars="200"/>
        <w:rPr>
          <w:sz w:val="28"/>
          <w:szCs w:val="28"/>
        </w:rPr>
      </w:pPr>
      <w:r>
        <w:rPr>
          <w:rFonts w:hint="eastAsia"/>
          <w:sz w:val="28"/>
          <w:szCs w:val="28"/>
        </w:rPr>
        <w:t>招标人在授予合同时有权对货物数量和服务予以增加或减少。</w:t>
      </w:r>
    </w:p>
    <w:p>
      <w:pPr>
        <w:ind w:firstLine="560" w:firstLineChars="200"/>
        <w:rPr>
          <w:sz w:val="28"/>
          <w:szCs w:val="28"/>
        </w:rPr>
      </w:pPr>
      <w:r>
        <w:rPr>
          <w:rFonts w:hint="eastAsia"/>
          <w:sz w:val="28"/>
          <w:szCs w:val="28"/>
        </w:rPr>
        <w:t>招标人在授予合同之前有拒绝投标人中标的权利，对受影响的投标人不承担任何责任，也无义务向受影响的投标人解释采取这一行动的理由。</w:t>
      </w:r>
    </w:p>
    <w:p>
      <w:pPr>
        <w:ind w:firstLine="560" w:firstLineChars="200"/>
        <w:rPr>
          <w:sz w:val="28"/>
          <w:szCs w:val="28"/>
        </w:rPr>
      </w:pPr>
      <w:r>
        <w:rPr>
          <w:rFonts w:hint="eastAsia"/>
          <w:sz w:val="28"/>
          <w:szCs w:val="28"/>
        </w:rPr>
        <w:t>招标人不解释落标原因，不退回投标文件。</w:t>
      </w:r>
    </w:p>
    <w:p>
      <w:pPr>
        <w:ind w:firstLine="560" w:firstLineChars="200"/>
        <w:rPr>
          <w:sz w:val="44"/>
          <w:szCs w:val="44"/>
        </w:rPr>
      </w:pPr>
      <w:r>
        <w:rPr>
          <w:rFonts w:hint="eastAsia"/>
          <w:sz w:val="28"/>
          <w:szCs w:val="28"/>
        </w:rPr>
        <w:t> </w:t>
      </w:r>
    </w:p>
    <w:p>
      <w:pPr>
        <w:ind w:firstLine="880" w:firstLineChars="200"/>
        <w:jc w:val="center"/>
        <w:rPr>
          <w:rFonts w:hint="eastAsia"/>
          <w:sz w:val="44"/>
          <w:szCs w:val="44"/>
        </w:rPr>
      </w:pPr>
      <w:r>
        <w:rPr>
          <w:rFonts w:hint="eastAsia"/>
          <w:sz w:val="44"/>
          <w:szCs w:val="44"/>
        </w:rPr>
        <w:t>第二章  技术及商务要求</w:t>
      </w:r>
    </w:p>
    <w:p>
      <w:pPr>
        <w:ind w:firstLine="560" w:firstLineChars="200"/>
        <w:jc w:val="left"/>
        <w:rPr>
          <w:rFonts w:hint="eastAsia"/>
          <w:sz w:val="28"/>
          <w:szCs w:val="28"/>
        </w:rPr>
      </w:pPr>
      <w:r>
        <w:rPr>
          <w:rFonts w:hint="eastAsia"/>
          <w:sz w:val="28"/>
          <w:szCs w:val="28"/>
          <w:lang w:eastAsia="zh-CN"/>
        </w:rPr>
        <w:t>一、</w:t>
      </w:r>
      <w:r>
        <w:rPr>
          <w:rFonts w:hint="eastAsia"/>
          <w:sz w:val="28"/>
          <w:szCs w:val="28"/>
        </w:rPr>
        <w:t>软</w:t>
      </w:r>
      <w:r>
        <w:rPr>
          <w:rFonts w:hint="eastAsia"/>
          <w:sz w:val="28"/>
          <w:szCs w:val="28"/>
          <w:lang w:eastAsia="zh-CN"/>
        </w:rPr>
        <w:t>、硬件</w:t>
      </w:r>
      <w:r>
        <w:rPr>
          <w:rFonts w:hint="eastAsia"/>
          <w:sz w:val="28"/>
          <w:szCs w:val="28"/>
        </w:rPr>
        <w:t>及参数需求</w:t>
      </w:r>
    </w:p>
    <w:p>
      <w:pPr>
        <w:ind w:firstLine="560" w:firstLineChars="200"/>
        <w:jc w:val="left"/>
        <w:rPr>
          <w:rFonts w:hint="eastAsia"/>
          <w:sz w:val="28"/>
          <w:szCs w:val="28"/>
        </w:rPr>
      </w:pPr>
      <w:r>
        <w:rPr>
          <w:rFonts w:hint="eastAsia"/>
          <w:sz w:val="28"/>
          <w:szCs w:val="28"/>
        </w:rPr>
        <w:t>（1）舆情系统参数</w:t>
      </w:r>
    </w:p>
    <w:p>
      <w:pPr>
        <w:ind w:firstLine="560" w:firstLineChars="200"/>
        <w:jc w:val="left"/>
        <w:rPr>
          <w:rFonts w:hint="eastAsia"/>
          <w:sz w:val="28"/>
          <w:szCs w:val="28"/>
        </w:rPr>
      </w:pPr>
      <w:r>
        <w:rPr>
          <w:rFonts w:hint="eastAsia"/>
          <w:sz w:val="28"/>
          <w:szCs w:val="28"/>
        </w:rPr>
        <w:t xml:space="preserve">1.用户可个性化定制舆情主题监控 </w:t>
      </w:r>
    </w:p>
    <w:p>
      <w:pPr>
        <w:ind w:firstLine="560" w:firstLineChars="200"/>
        <w:jc w:val="left"/>
        <w:rPr>
          <w:rFonts w:hint="eastAsia"/>
          <w:sz w:val="28"/>
          <w:szCs w:val="28"/>
        </w:rPr>
      </w:pPr>
      <w:r>
        <w:rPr>
          <w:rFonts w:hint="eastAsia"/>
          <w:sz w:val="28"/>
          <w:szCs w:val="28"/>
        </w:rPr>
        <w:t xml:space="preserve">2.支持包括关键词组合、时间段、收集范围设定，可根据复合条件自动匹配相关信息。同时可设定抓取任务的有效期。输入特定文章，系统可通过自学习，自动发现、收集同主题文章。 </w:t>
      </w:r>
    </w:p>
    <w:p>
      <w:pPr>
        <w:ind w:firstLine="560" w:firstLineChars="200"/>
        <w:jc w:val="left"/>
        <w:rPr>
          <w:rFonts w:hint="eastAsia"/>
          <w:sz w:val="28"/>
          <w:szCs w:val="28"/>
        </w:rPr>
      </w:pPr>
      <w:r>
        <w:rPr>
          <w:rFonts w:hint="eastAsia"/>
          <w:sz w:val="28"/>
          <w:szCs w:val="28"/>
        </w:rPr>
        <w:t>3.定制主题监控可通过关键词、时间范围、数据范围等设定，按照主题自动获取数据，监控数据，可根据不同来源数据源进行筛选，包括APP、报纸、网站、 微博、微信、论坛、微博等。</w:t>
      </w:r>
    </w:p>
    <w:p>
      <w:pPr>
        <w:ind w:firstLine="560" w:firstLineChars="200"/>
        <w:jc w:val="left"/>
        <w:rPr>
          <w:rFonts w:hint="eastAsia"/>
          <w:sz w:val="28"/>
          <w:szCs w:val="28"/>
        </w:rPr>
      </w:pPr>
      <w:r>
        <w:rPr>
          <w:rFonts w:hint="eastAsia"/>
          <w:sz w:val="28"/>
          <w:szCs w:val="28"/>
        </w:rPr>
        <w:t>4.提供高效的全文检索系统，支持多维度复杂组合检索的需求，包含但不限于按相关度排序或按时间排序等。通过关键词的限制、原发布来源限制、地域选择、媒体选择、时间、数据类型、原创与否、正负面选择、图片选择、文章字数控制等等，全方位精准助力用户找到所需要的内容。</w:t>
      </w:r>
    </w:p>
    <w:p>
      <w:pPr>
        <w:ind w:firstLine="560" w:firstLineChars="200"/>
        <w:jc w:val="left"/>
        <w:rPr>
          <w:rFonts w:hint="eastAsia"/>
          <w:sz w:val="28"/>
          <w:szCs w:val="28"/>
        </w:rPr>
      </w:pPr>
      <w:r>
        <w:rPr>
          <w:rFonts w:hint="eastAsia"/>
          <w:sz w:val="28"/>
          <w:szCs w:val="28"/>
        </w:rPr>
        <w:t>5.系统支持定向监测单个或者多个微博、微信公众号、网站、论坛、二级频道。并支持组合监测。支持细分到网站的每个子频道。支持对网站、报纸和新媒体等数据源发布信息的监控，同时可根据需求不断调整监控范围；</w:t>
      </w:r>
    </w:p>
    <w:p>
      <w:pPr>
        <w:ind w:firstLine="560" w:firstLineChars="200"/>
        <w:jc w:val="left"/>
        <w:rPr>
          <w:rFonts w:hint="eastAsia"/>
          <w:sz w:val="28"/>
          <w:szCs w:val="28"/>
        </w:rPr>
      </w:pPr>
      <w:r>
        <w:rPr>
          <w:rFonts w:hint="eastAsia"/>
          <w:sz w:val="28"/>
          <w:szCs w:val="28"/>
        </w:rPr>
        <w:t>6.可实现对国内主流媒体，包括媒体旗下的报纸、网站、微博、微信、客户端的稿件监测和新闻热点挖掘。</w:t>
      </w:r>
    </w:p>
    <w:p>
      <w:pPr>
        <w:ind w:firstLine="560" w:firstLineChars="200"/>
        <w:jc w:val="left"/>
        <w:rPr>
          <w:rFonts w:hint="eastAsia"/>
          <w:sz w:val="28"/>
          <w:szCs w:val="28"/>
        </w:rPr>
      </w:pPr>
      <w:r>
        <w:rPr>
          <w:rFonts w:hint="eastAsia"/>
          <w:sz w:val="28"/>
          <w:szCs w:val="28"/>
        </w:rPr>
        <w:t>7.建立对本地网络新闻的监测搜索系统，支持对国内非主流知名网站、微博、微信及其他新媒体渠道的新闻信息内容的监测和线索挖掘；</w:t>
      </w:r>
    </w:p>
    <w:p>
      <w:pPr>
        <w:ind w:firstLine="560" w:firstLineChars="200"/>
        <w:jc w:val="left"/>
        <w:rPr>
          <w:rFonts w:hint="eastAsia"/>
          <w:sz w:val="28"/>
          <w:szCs w:val="28"/>
        </w:rPr>
      </w:pPr>
      <w:r>
        <w:rPr>
          <w:rFonts w:hint="eastAsia"/>
          <w:sz w:val="28"/>
          <w:szCs w:val="28"/>
        </w:rPr>
        <w:t>8.支持对关键事件整个生命周期的全程监控，分析事件传播情况，趋势走向等;实现对关键事件的专项监测，由系统根据热点内容的相似性和数据量，呈现当前的事件热点，并分析当前热点的媒体分布情况和事件脉络、趋势走向，为报道提供切实帮助。</w:t>
      </w:r>
    </w:p>
    <w:p>
      <w:pPr>
        <w:ind w:firstLine="560" w:firstLineChars="200"/>
        <w:jc w:val="left"/>
        <w:rPr>
          <w:rFonts w:hint="eastAsia"/>
          <w:sz w:val="28"/>
          <w:szCs w:val="28"/>
        </w:rPr>
      </w:pPr>
      <w:r>
        <w:rPr>
          <w:rFonts w:hint="eastAsia"/>
          <w:sz w:val="28"/>
          <w:szCs w:val="28"/>
        </w:rPr>
        <w:t>8.监测原创稿件在全网被转载传播的数量以及数据汇总的统计分析，同时可视化绘制传播路径；</w:t>
      </w:r>
    </w:p>
    <w:p>
      <w:pPr>
        <w:ind w:firstLine="560" w:firstLineChars="200"/>
        <w:jc w:val="left"/>
        <w:rPr>
          <w:rFonts w:hint="eastAsia"/>
          <w:sz w:val="28"/>
          <w:szCs w:val="28"/>
        </w:rPr>
      </w:pPr>
      <w:r>
        <w:rPr>
          <w:rFonts w:hint="eastAsia"/>
          <w:sz w:val="28"/>
          <w:szCs w:val="28"/>
        </w:rPr>
        <w:t>9.支持舆情报告与报表管理，能支持创建的舆情监控自动生成舆情简报，专有的稿件统计数据，提供媒体类别、地域及影响力排行等独家数据，帮助媒体针对舆情事件进行多维度的分析。通过标准化、多维度、数字化、可视化的数据分析平台，导出各类数据及图表。支持多媒体、多主题的比较分析。</w:t>
      </w:r>
    </w:p>
    <w:p>
      <w:pPr>
        <w:ind w:firstLine="560" w:firstLineChars="200"/>
        <w:jc w:val="left"/>
        <w:rPr>
          <w:rFonts w:hint="eastAsia"/>
          <w:sz w:val="28"/>
          <w:szCs w:val="28"/>
        </w:rPr>
      </w:pPr>
      <w:r>
        <w:rPr>
          <w:rFonts w:hint="eastAsia"/>
          <w:sz w:val="28"/>
          <w:szCs w:val="28"/>
        </w:rPr>
        <w:t>10.舆情数据推送方式</w:t>
      </w:r>
    </w:p>
    <w:p>
      <w:pPr>
        <w:ind w:firstLine="560" w:firstLineChars="200"/>
        <w:jc w:val="left"/>
        <w:rPr>
          <w:rFonts w:hint="eastAsia"/>
          <w:sz w:val="28"/>
          <w:szCs w:val="28"/>
        </w:rPr>
      </w:pPr>
      <w:r>
        <w:rPr>
          <w:rFonts w:hint="eastAsia"/>
          <w:sz w:val="28"/>
          <w:szCs w:val="28"/>
        </w:rPr>
        <w:t>系统提供标准化的数据接口，支持常用的数据格式，方便开发者调用与开发。</w:t>
      </w:r>
    </w:p>
    <w:p>
      <w:pPr>
        <w:ind w:firstLine="560" w:firstLineChars="200"/>
        <w:jc w:val="left"/>
        <w:rPr>
          <w:rFonts w:hint="eastAsia"/>
          <w:sz w:val="28"/>
          <w:szCs w:val="28"/>
        </w:rPr>
      </w:pPr>
      <w:r>
        <w:rPr>
          <w:rFonts w:hint="eastAsia"/>
          <w:sz w:val="28"/>
          <w:szCs w:val="28"/>
        </w:rPr>
        <w:t>（</w:t>
      </w:r>
      <w:r>
        <w:rPr>
          <w:rFonts w:hint="eastAsia"/>
          <w:sz w:val="28"/>
          <w:szCs w:val="28"/>
          <w:lang w:val="en-US" w:eastAsia="zh-CN"/>
        </w:rPr>
        <w:t>2</w:t>
      </w:r>
      <w:r>
        <w:rPr>
          <w:rFonts w:hint="eastAsia"/>
          <w:sz w:val="28"/>
          <w:szCs w:val="28"/>
        </w:rPr>
        <w:t>）舆情监控导控可视化大屏</w:t>
      </w:r>
    </w:p>
    <w:p>
      <w:pPr>
        <w:ind w:firstLine="560" w:firstLineChars="200"/>
        <w:jc w:val="left"/>
        <w:rPr>
          <w:rFonts w:hint="eastAsia"/>
          <w:sz w:val="28"/>
          <w:szCs w:val="28"/>
        </w:rPr>
      </w:pPr>
      <w:r>
        <w:rPr>
          <w:rFonts w:hint="eastAsia"/>
          <w:sz w:val="28"/>
          <w:szCs w:val="28"/>
        </w:rPr>
        <w:t>舆情可视化大屏性能：</w:t>
      </w:r>
    </w:p>
    <w:p>
      <w:pPr>
        <w:ind w:firstLine="560" w:firstLineChars="200"/>
        <w:jc w:val="left"/>
        <w:rPr>
          <w:rFonts w:hint="eastAsia"/>
          <w:sz w:val="28"/>
          <w:szCs w:val="28"/>
        </w:rPr>
      </w:pPr>
      <w:r>
        <w:rPr>
          <w:rFonts w:hint="eastAsia"/>
          <w:sz w:val="28"/>
          <w:szCs w:val="28"/>
        </w:rPr>
        <w:t>1.能统计达州市每日新闻总数曲线图、负面新闻曲线图、各类型数据饼状图以及正负面情感统计图四个图形的统计，</w:t>
      </w:r>
    </w:p>
    <w:p>
      <w:pPr>
        <w:ind w:firstLine="560" w:firstLineChars="200"/>
        <w:jc w:val="left"/>
        <w:rPr>
          <w:rFonts w:hint="eastAsia"/>
          <w:sz w:val="28"/>
          <w:szCs w:val="28"/>
        </w:rPr>
      </w:pPr>
      <w:r>
        <w:rPr>
          <w:rFonts w:hint="eastAsia"/>
          <w:sz w:val="28"/>
          <w:szCs w:val="28"/>
        </w:rPr>
        <w:t>2.直观展示数据的变化以及各类型数据的分布比例。</w:t>
      </w:r>
    </w:p>
    <w:p>
      <w:pPr>
        <w:ind w:firstLine="560" w:firstLineChars="200"/>
        <w:jc w:val="left"/>
        <w:rPr>
          <w:rFonts w:hint="eastAsia"/>
          <w:sz w:val="28"/>
          <w:szCs w:val="28"/>
        </w:rPr>
      </w:pPr>
      <w:r>
        <w:rPr>
          <w:rFonts w:hint="eastAsia"/>
          <w:sz w:val="28"/>
          <w:szCs w:val="28"/>
        </w:rPr>
        <w:t>3.与达州市相关的新闻统计，包括总信息、负面信息、网站新闻、移动端新闻、微信文章以及微博文章6个方面的数据统计，更为直观展示数据总量。</w:t>
      </w:r>
    </w:p>
    <w:p>
      <w:pPr>
        <w:ind w:firstLine="560" w:firstLineChars="200"/>
        <w:jc w:val="left"/>
        <w:rPr>
          <w:rFonts w:hint="eastAsia"/>
          <w:sz w:val="28"/>
          <w:szCs w:val="28"/>
        </w:rPr>
      </w:pPr>
      <w:r>
        <w:rPr>
          <w:rFonts w:hint="eastAsia"/>
          <w:sz w:val="28"/>
          <w:szCs w:val="28"/>
        </w:rPr>
        <w:t>4.能有舆情预警功能，对于负面值较高的负面事件可以展示在此，对于达州市整体规划有舆情监测效果。</w:t>
      </w:r>
    </w:p>
    <w:p>
      <w:pPr>
        <w:ind w:firstLine="560" w:firstLineChars="200"/>
        <w:jc w:val="left"/>
        <w:rPr>
          <w:rFonts w:hint="eastAsia"/>
          <w:sz w:val="28"/>
          <w:szCs w:val="28"/>
        </w:rPr>
      </w:pPr>
    </w:p>
    <w:p>
      <w:pPr>
        <w:ind w:firstLine="560" w:firstLineChars="200"/>
        <w:jc w:val="left"/>
        <w:rPr>
          <w:rFonts w:hint="eastAsia"/>
          <w:sz w:val="28"/>
          <w:szCs w:val="28"/>
        </w:rPr>
      </w:pPr>
    </w:p>
    <w:p>
      <w:pPr>
        <w:ind w:firstLine="560" w:firstLineChars="200"/>
        <w:jc w:val="left"/>
        <w:rPr>
          <w:rFonts w:hint="eastAsia"/>
          <w:sz w:val="28"/>
          <w:szCs w:val="28"/>
        </w:rPr>
      </w:pPr>
    </w:p>
    <w:p>
      <w:pPr>
        <w:ind w:firstLine="560" w:firstLineChars="200"/>
        <w:jc w:val="left"/>
        <w:rPr>
          <w:rFonts w:hint="eastAsia"/>
          <w:sz w:val="28"/>
          <w:szCs w:val="28"/>
        </w:rPr>
      </w:pPr>
    </w:p>
    <w:p>
      <w:pPr>
        <w:spacing w:before="120" w:beforeLines="0" w:after="120" w:afterLines="0" w:line="360" w:lineRule="auto"/>
        <w:rPr>
          <w:rFonts w:hint="eastAsia" w:ascii="黑体" w:hAnsi="黑体" w:eastAsia="黑体"/>
          <w:sz w:val="32"/>
          <w:szCs w:val="32"/>
        </w:rPr>
      </w:pPr>
      <w:r>
        <w:rPr>
          <w:rFonts w:hint="eastAsia" w:ascii="黑体" w:hAnsi="黑体" w:eastAsia="黑体"/>
          <w:sz w:val="32"/>
          <w:szCs w:val="32"/>
        </w:rPr>
        <w:t>硬件及参数需求</w:t>
      </w:r>
    </w:p>
    <w:tbl>
      <w:tblPr>
        <w:tblStyle w:val="6"/>
        <w:tblW w:w="7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43"/>
        <w:gridCol w:w="4959"/>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0" w:hRule="atLeast"/>
          <w:jc w:val="center"/>
        </w:trPr>
        <w:tc>
          <w:tcPr>
            <w:tcW w:w="748" w:type="dxa"/>
            <w:vAlign w:val="center"/>
          </w:tcPr>
          <w:p>
            <w:pPr>
              <w:spacing w:before="120" w:after="120"/>
              <w:jc w:val="center"/>
              <w:rPr>
                <w:rFonts w:ascii="黑体" w:hAnsi="黑体" w:eastAsia="黑体"/>
                <w:szCs w:val="24"/>
              </w:rPr>
            </w:pPr>
            <w:r>
              <w:rPr>
                <w:rFonts w:hint="eastAsia" w:ascii="黑体" w:hAnsi="黑体" w:eastAsia="黑体"/>
                <w:szCs w:val="24"/>
              </w:rPr>
              <w:t>1</w:t>
            </w:r>
          </w:p>
          <w:p>
            <w:pPr>
              <w:spacing w:before="120" w:after="120"/>
              <w:jc w:val="center"/>
              <w:rPr>
                <w:rFonts w:ascii="黑体" w:hAnsi="黑体" w:eastAsia="黑体"/>
                <w:szCs w:val="24"/>
              </w:rPr>
            </w:pPr>
          </w:p>
        </w:tc>
        <w:tc>
          <w:tcPr>
            <w:tcW w:w="843" w:type="dxa"/>
            <w:vAlign w:val="center"/>
          </w:tcPr>
          <w:p>
            <w:pPr>
              <w:spacing w:before="120" w:after="120"/>
              <w:jc w:val="left"/>
              <w:rPr>
                <w:rFonts w:ascii="黑体" w:hAnsi="黑体" w:eastAsia="黑体"/>
                <w:szCs w:val="24"/>
              </w:rPr>
            </w:pPr>
            <w:r>
              <w:rPr>
                <w:rFonts w:hint="eastAsia" w:ascii="黑体" w:hAnsi="黑体" w:eastAsia="黑体"/>
                <w:szCs w:val="24"/>
              </w:rPr>
              <w:t>指挥中心LCD屏及配套设备</w:t>
            </w:r>
          </w:p>
          <w:p>
            <w:pPr>
              <w:spacing w:before="120" w:after="120"/>
              <w:jc w:val="center"/>
              <w:rPr>
                <w:rFonts w:ascii="黑体" w:hAnsi="黑体" w:eastAsia="黑体"/>
                <w:szCs w:val="24"/>
              </w:rPr>
            </w:pPr>
          </w:p>
        </w:tc>
        <w:tc>
          <w:tcPr>
            <w:tcW w:w="4959" w:type="dxa"/>
            <w:vAlign w:val="center"/>
          </w:tcPr>
          <w:p>
            <w:pPr>
              <w:widowControl/>
              <w:spacing w:before="0" w:beforeLines="0" w:after="0" w:afterLines="0"/>
              <w:jc w:val="left"/>
              <w:rPr>
                <w:rFonts w:hint="eastAsia" w:ascii="黑体" w:hAnsi="黑体" w:eastAsia="黑体"/>
                <w:color w:val="000000"/>
                <w:szCs w:val="24"/>
              </w:rPr>
            </w:pPr>
            <w:r>
              <w:rPr>
                <w:rFonts w:hint="eastAsia" w:ascii="黑体" w:hAnsi="黑体" w:eastAsia="黑体"/>
                <w:color w:val="000000"/>
                <w:szCs w:val="24"/>
              </w:rPr>
              <w:t>保证：</w:t>
            </w:r>
          </w:p>
          <w:p>
            <w:pPr>
              <w:widowControl/>
              <w:spacing w:before="0" w:beforeLines="0" w:after="0" w:afterLines="0"/>
              <w:jc w:val="left"/>
              <w:rPr>
                <w:rFonts w:hint="eastAsia" w:ascii="黑体" w:hAnsi="黑体" w:eastAsia="黑体"/>
                <w:color w:val="000000"/>
                <w:szCs w:val="24"/>
              </w:rPr>
            </w:pPr>
            <w:r>
              <w:rPr>
                <w:rFonts w:hint="eastAsia" w:ascii="黑体" w:hAnsi="黑体" w:eastAsia="黑体"/>
                <w:color w:val="000000"/>
                <w:szCs w:val="24"/>
              </w:rPr>
              <w:t>1.拼接缝隙缝：1.7mm</w:t>
            </w:r>
          </w:p>
          <w:p>
            <w:pPr>
              <w:widowControl/>
              <w:spacing w:before="0" w:beforeLines="0" w:after="0" w:afterLines="0"/>
              <w:jc w:val="left"/>
              <w:rPr>
                <w:rFonts w:ascii="黑体" w:hAnsi="黑体" w:eastAsia="黑体"/>
                <w:color w:val="000000"/>
                <w:szCs w:val="24"/>
              </w:rPr>
            </w:pPr>
            <w:r>
              <w:rPr>
                <w:rFonts w:hint="eastAsia" w:ascii="黑体" w:hAnsi="黑体" w:eastAsia="黑体"/>
                <w:color w:val="000000"/>
                <w:szCs w:val="24"/>
              </w:rPr>
              <w:t>2.背光亮度：500cd/㎡分辨率:1920X1080：</w:t>
            </w:r>
          </w:p>
          <w:p>
            <w:pPr>
              <w:widowControl/>
              <w:spacing w:before="0" w:beforeLines="0" w:after="0" w:afterLines="0"/>
              <w:jc w:val="left"/>
              <w:rPr>
                <w:rFonts w:hint="eastAsia" w:ascii="黑体" w:hAnsi="黑体" w:eastAsia="黑体"/>
                <w:color w:val="000000"/>
                <w:szCs w:val="24"/>
              </w:rPr>
            </w:pPr>
            <w:r>
              <w:rPr>
                <w:rFonts w:hint="eastAsia" w:ascii="黑体" w:hAnsi="黑体" w:eastAsia="黑体"/>
                <w:color w:val="000000"/>
                <w:szCs w:val="24"/>
              </w:rPr>
              <w:t>3.接口类型:HDMI/DVI/VGA/VIDEO/串口 功耗：198W电源：AC100V-240V, 50/60Hz</w:t>
            </w:r>
          </w:p>
          <w:p>
            <w:pPr>
              <w:widowControl/>
              <w:spacing w:before="0" w:beforeLines="0" w:after="0" w:afterLines="0"/>
              <w:jc w:val="left"/>
              <w:rPr>
                <w:rFonts w:hint="eastAsia" w:ascii="黑体" w:hAnsi="黑体" w:eastAsia="黑体"/>
                <w:color w:val="000000"/>
                <w:szCs w:val="24"/>
              </w:rPr>
            </w:pPr>
            <w:r>
              <w:rPr>
                <w:rFonts w:hint="eastAsia" w:ascii="黑体" w:hAnsi="黑体" w:eastAsia="黑体"/>
                <w:color w:val="000000"/>
                <w:szCs w:val="24"/>
              </w:rPr>
              <w:t xml:space="preserve">4.保证拼接后适应墙体大小，保证大屏拼接后的长宽不小于7mX2 </w:t>
            </w:r>
            <w:r>
              <w:rPr>
                <w:rFonts w:ascii="黑体" w:hAnsi="黑体" w:eastAsia="黑体"/>
                <w:color w:val="000000"/>
                <w:szCs w:val="24"/>
              </w:rPr>
              <w:t>m,</w:t>
            </w:r>
            <w:r>
              <w:rPr>
                <w:rFonts w:hint="eastAsia" w:ascii="黑体" w:hAnsi="黑体" w:eastAsia="黑体"/>
                <w:color w:val="000000"/>
                <w:szCs w:val="24"/>
              </w:rPr>
              <w:t>不超过7.5MX2.5M</w:t>
            </w:r>
          </w:p>
          <w:p>
            <w:pPr>
              <w:widowControl/>
              <w:spacing w:before="0" w:beforeLines="0" w:after="0" w:afterLines="0"/>
              <w:jc w:val="left"/>
              <w:rPr>
                <w:rFonts w:ascii="黑体" w:hAnsi="黑体" w:eastAsia="黑体"/>
                <w:color w:val="000000"/>
                <w:szCs w:val="24"/>
              </w:rPr>
            </w:pPr>
            <w:r>
              <w:rPr>
                <w:rFonts w:hint="eastAsia" w:ascii="黑体" w:hAnsi="黑体" w:eastAsia="黑体"/>
                <w:color w:val="000000"/>
                <w:szCs w:val="24"/>
              </w:rPr>
              <w:t>5.信号采集驱动与供电电源两个以上，保证7X24X365无故障持续运行</w:t>
            </w:r>
          </w:p>
          <w:p>
            <w:pPr>
              <w:widowControl/>
              <w:spacing w:before="0" w:beforeLines="0" w:after="0" w:afterLines="0"/>
              <w:jc w:val="left"/>
              <w:rPr>
                <w:rFonts w:hint="eastAsia" w:ascii="黑体" w:hAnsi="黑体" w:eastAsia="黑体"/>
                <w:color w:val="000000"/>
                <w:szCs w:val="24"/>
              </w:rPr>
            </w:pPr>
            <w:r>
              <w:rPr>
                <w:rFonts w:hint="eastAsia" w:ascii="黑体" w:hAnsi="黑体" w:eastAsia="黑体"/>
                <w:color w:val="000000"/>
                <w:szCs w:val="24"/>
              </w:rPr>
              <w:t>6.屏幕表面应力≧110MPa，耐热冲击性能应耐200°温差不破坏，外观质量无爆边、划伤、夹钳印、裂纹、缺角，弯曲度&lt;0.121%，均无长度&gt;75mm张条形碎片，抗冲击性、霰弹袋冲击性能符合GB15763.2-200</w:t>
            </w:r>
          </w:p>
          <w:p>
            <w:pPr>
              <w:widowControl/>
              <w:spacing w:before="0" w:beforeLines="0" w:after="0" w:afterLines="0"/>
              <w:jc w:val="left"/>
              <w:rPr>
                <w:rFonts w:hint="eastAsia" w:ascii="黑体" w:hAnsi="黑体" w:eastAsia="黑体"/>
                <w:color w:val="000000"/>
                <w:szCs w:val="24"/>
              </w:rPr>
            </w:pPr>
            <w:r>
              <w:rPr>
                <w:rFonts w:hint="eastAsia" w:ascii="黑体" w:hAnsi="黑体" w:eastAsia="黑体"/>
                <w:color w:val="000000"/>
                <w:szCs w:val="24"/>
              </w:rPr>
              <w:t>7.能实现自由操作屏幕分屏，保证还原图像信号，</w:t>
            </w:r>
            <w:r>
              <w:rPr>
                <w:rFonts w:ascii="黑体" w:hAnsi="黑体" w:eastAsia="黑体"/>
                <w:color w:val="000000"/>
                <w:szCs w:val="24"/>
              </w:rPr>
              <w:t xml:space="preserve"> </w:t>
            </w:r>
          </w:p>
          <w:p>
            <w:pPr>
              <w:spacing w:before="120" w:after="120"/>
              <w:jc w:val="left"/>
              <w:rPr>
                <w:rFonts w:ascii="黑体" w:hAnsi="黑体" w:eastAsia="黑体"/>
                <w:color w:val="000000"/>
                <w:szCs w:val="24"/>
              </w:rPr>
            </w:pPr>
            <w:r>
              <w:rPr>
                <w:rFonts w:hint="eastAsia" w:ascii="黑体" w:hAnsi="黑体" w:eastAsia="黑体"/>
                <w:color w:val="000000"/>
                <w:szCs w:val="24"/>
              </w:rPr>
              <w:t>8.拼接完成后能在单个与拼接屏任意位置开窗、漫游、分屏功能、叠加、画中画等功能。</w:t>
            </w:r>
          </w:p>
          <w:p>
            <w:pPr>
              <w:spacing w:before="120" w:after="120"/>
              <w:jc w:val="left"/>
              <w:rPr>
                <w:rFonts w:ascii="黑体" w:hAnsi="黑体" w:eastAsia="黑体"/>
                <w:color w:val="000000"/>
                <w:szCs w:val="24"/>
              </w:rPr>
            </w:pPr>
            <w:r>
              <w:rPr>
                <w:rFonts w:hint="eastAsia" w:ascii="黑体" w:hAnsi="黑体" w:eastAsia="黑体"/>
                <w:color w:val="000000"/>
                <w:szCs w:val="24"/>
              </w:rPr>
              <w:t>9.保证大屏采用中文操作控制维护界面，所有指标均在同一套控制软件上统一实现，持用户硬件调试，系统备份，信源，窗口，场景，模式电源管理。</w:t>
            </w:r>
          </w:p>
          <w:p>
            <w:pPr>
              <w:spacing w:before="120" w:after="120"/>
              <w:jc w:val="left"/>
              <w:rPr>
                <w:rFonts w:ascii="黑体" w:hAnsi="黑体" w:eastAsia="黑体"/>
                <w:color w:val="000000"/>
                <w:szCs w:val="24"/>
              </w:rPr>
            </w:pPr>
            <w:r>
              <w:rPr>
                <w:rFonts w:hint="eastAsia" w:ascii="黑体" w:hAnsi="黑体" w:eastAsia="黑体"/>
                <w:color w:val="000000"/>
                <w:szCs w:val="24"/>
              </w:rPr>
              <w:t>10.可扩展支持，通过微信APP智能网络控制显示端设备及信号源调取，</w:t>
            </w:r>
            <w:r>
              <w:rPr>
                <w:rFonts w:ascii="黑体" w:hAnsi="黑体" w:eastAsia="黑体"/>
                <w:color w:val="000000"/>
                <w:szCs w:val="24"/>
              </w:rPr>
              <w:t xml:space="preserve"> </w:t>
            </w:r>
          </w:p>
          <w:p>
            <w:pPr>
              <w:spacing w:before="120" w:after="120"/>
              <w:jc w:val="left"/>
              <w:rPr>
                <w:rFonts w:ascii="黑体" w:hAnsi="黑体" w:eastAsia="黑体"/>
                <w:color w:val="000000"/>
                <w:szCs w:val="24"/>
              </w:rPr>
            </w:pPr>
            <w:r>
              <w:rPr>
                <w:rFonts w:hint="eastAsia" w:ascii="黑体" w:hAnsi="黑体" w:eastAsia="黑体"/>
                <w:color w:val="000000"/>
                <w:szCs w:val="24"/>
              </w:rPr>
              <w:t>11.完全正面安装，布线，调试和维护，规格定制，安装快捷，可以做成壁挂、嵌入式，落地以适合不同场地需求。每个拼接可以单独弹出及推入不影响其他拼接使用，支架配置上下左右六方位调节装置，屏体接缝平整美观大方。</w:t>
            </w:r>
          </w:p>
          <w:p>
            <w:pPr>
              <w:spacing w:before="120" w:after="120"/>
              <w:jc w:val="left"/>
              <w:rPr>
                <w:rFonts w:ascii="黑体" w:hAnsi="黑体" w:eastAsia="黑体"/>
                <w:color w:val="000000"/>
                <w:szCs w:val="24"/>
              </w:rPr>
            </w:pPr>
            <w:r>
              <w:rPr>
                <w:rFonts w:hint="eastAsia" w:ascii="黑体" w:hAnsi="黑体" w:eastAsia="黑体"/>
                <w:color w:val="000000"/>
                <w:szCs w:val="24"/>
              </w:rPr>
              <w:t>12.保证线缆使用镀金接头，高纯度铜芯，强抗干扰双磁环，金属网屏蔽，支持3D信号传输，音视频同步传送，即插即用，支持热插拔，无损信号向下兼容支持1.1/1.2/1.3/1.4版本，4K-60Hz 1080P-144Hz，满足55寸大屏系统输入输出连接。</w:t>
            </w:r>
          </w:p>
          <w:p>
            <w:pPr>
              <w:spacing w:before="120" w:after="120"/>
              <w:jc w:val="left"/>
              <w:rPr>
                <w:rFonts w:hint="eastAsia" w:ascii="黑体" w:hAnsi="黑体" w:eastAsia="黑体"/>
                <w:color w:val="000000"/>
                <w:szCs w:val="24"/>
              </w:rPr>
            </w:pPr>
            <w:r>
              <w:rPr>
                <w:rFonts w:hint="eastAsia" w:ascii="黑体" w:hAnsi="黑体" w:eastAsia="黑体"/>
                <w:color w:val="000000"/>
                <w:szCs w:val="24"/>
              </w:rPr>
              <w:t>13.保证带连接网线，转接头，串口头，连接固定件，电源排插带总开关，内芯750度高温不燃烧，大孔间距，双重防雷，加粗4平方铜线，接触紧密，防止发热，氧化锌压敏电阻，带高温熔断保护器，抗7大电涌损伤。</w:t>
            </w:r>
          </w:p>
          <w:p>
            <w:pPr>
              <w:spacing w:before="120" w:after="120"/>
              <w:jc w:val="left"/>
              <w:rPr>
                <w:rFonts w:ascii="黑体" w:hAnsi="黑体" w:eastAsia="黑体"/>
                <w:color w:val="000000"/>
                <w:szCs w:val="24"/>
              </w:rPr>
            </w:pPr>
            <w:r>
              <w:rPr>
                <w:rFonts w:hint="eastAsia" w:ascii="黑体" w:hAnsi="黑体" w:eastAsia="黑体"/>
                <w:color w:val="000000"/>
                <w:szCs w:val="24"/>
              </w:rPr>
              <w:t>14.负责施工安装并有完善的售后服务机制。</w:t>
            </w:r>
            <w:bookmarkStart w:id="0" w:name="_GoBack"/>
            <w:bookmarkEnd w:id="0"/>
          </w:p>
        </w:tc>
        <w:tc>
          <w:tcPr>
            <w:tcW w:w="690" w:type="dxa"/>
            <w:vAlign w:val="center"/>
          </w:tcPr>
          <w:p>
            <w:pPr>
              <w:spacing w:before="120" w:after="120"/>
              <w:jc w:val="center"/>
              <w:rPr>
                <w:rFonts w:ascii="黑体" w:hAnsi="黑体" w:eastAsia="黑体"/>
                <w:color w:val="000000"/>
                <w:szCs w:val="24"/>
              </w:rPr>
            </w:pPr>
            <w:r>
              <w:rPr>
                <w:rFonts w:hint="eastAsia" w:ascii="黑体" w:hAnsi="黑体" w:eastAsia="黑体"/>
                <w:color w:val="000000"/>
                <w:szCs w:val="24"/>
              </w:rPr>
              <w:t>一套</w:t>
            </w:r>
          </w:p>
          <w:p>
            <w:pPr>
              <w:spacing w:before="120" w:after="120"/>
              <w:jc w:val="center"/>
              <w:rPr>
                <w:rFonts w:ascii="黑体" w:hAnsi="黑体" w:eastAsia="黑体"/>
                <w:color w:val="000000"/>
                <w:szCs w:val="24"/>
              </w:rPr>
            </w:pPr>
          </w:p>
        </w:tc>
      </w:tr>
    </w:tbl>
    <w:p>
      <w:pPr>
        <w:pStyle w:val="2"/>
        <w:ind w:firstLine="0" w:firstLineChars="0"/>
        <w:rPr>
          <w:rFonts w:hint="eastAsia" w:ascii="黑体" w:hAnsi="黑体" w:eastAsia="黑体"/>
        </w:rPr>
      </w:pPr>
    </w:p>
    <w:p>
      <w:pPr>
        <w:ind w:firstLine="560" w:firstLineChars="200"/>
        <w:jc w:val="left"/>
        <w:rPr>
          <w:rFonts w:hint="eastAsia"/>
          <w:sz w:val="28"/>
          <w:szCs w:val="28"/>
        </w:rPr>
      </w:pPr>
    </w:p>
    <w:p>
      <w:pPr>
        <w:ind w:firstLine="560" w:firstLineChars="200"/>
        <w:jc w:val="left"/>
        <w:rPr>
          <w:sz w:val="28"/>
          <w:szCs w:val="28"/>
        </w:rPr>
      </w:pPr>
      <w:r>
        <w:rPr>
          <w:rFonts w:hint="eastAsia"/>
          <w:sz w:val="28"/>
          <w:szCs w:val="28"/>
        </w:rPr>
        <w:t>二、设备部署要求</w:t>
      </w:r>
    </w:p>
    <w:p>
      <w:pPr>
        <w:ind w:firstLine="560" w:firstLineChars="200"/>
        <w:rPr>
          <w:sz w:val="28"/>
          <w:szCs w:val="28"/>
        </w:rPr>
      </w:pPr>
      <w:r>
        <w:rPr>
          <w:rFonts w:hint="eastAsia"/>
          <w:sz w:val="28"/>
          <w:szCs w:val="28"/>
        </w:rPr>
        <w:t>1.投标方需进行设备的硬件安装、接地、布线和调试、配置指标参数部署，并按采购项目技术要求和</w:t>
      </w:r>
      <w:r>
        <w:rPr>
          <w:rFonts w:hint="eastAsia"/>
          <w:sz w:val="28"/>
          <w:szCs w:val="28"/>
          <w:lang w:eastAsia="zh-CN"/>
        </w:rPr>
        <w:t>达州日报社</w:t>
      </w:r>
      <w:r>
        <w:rPr>
          <w:rFonts w:hint="eastAsia"/>
          <w:sz w:val="28"/>
          <w:szCs w:val="28"/>
        </w:rPr>
        <w:t>指定的验收格式填写验收记录表格。</w:t>
      </w:r>
    </w:p>
    <w:p>
      <w:pPr>
        <w:ind w:firstLine="560" w:firstLineChars="200"/>
        <w:rPr>
          <w:sz w:val="28"/>
          <w:szCs w:val="28"/>
        </w:rPr>
      </w:pPr>
      <w:r>
        <w:rPr>
          <w:rFonts w:hint="eastAsia"/>
          <w:sz w:val="28"/>
          <w:szCs w:val="28"/>
        </w:rPr>
        <w:t>2.投标方负责提供设备部署所需的一切辅助器材，例如尾纤，电缆等。</w:t>
      </w:r>
    </w:p>
    <w:p>
      <w:pPr>
        <w:ind w:firstLine="560" w:firstLineChars="200"/>
        <w:rPr>
          <w:sz w:val="28"/>
          <w:szCs w:val="28"/>
        </w:rPr>
      </w:pPr>
      <w:r>
        <w:rPr>
          <w:rFonts w:hint="eastAsia"/>
          <w:sz w:val="28"/>
          <w:szCs w:val="28"/>
        </w:rPr>
        <w:t>3.在设备部署完成后，投标方还必须进行一段时间的观察及调优。</w:t>
      </w:r>
    </w:p>
    <w:p>
      <w:pPr>
        <w:ind w:firstLine="560" w:firstLineChars="200"/>
        <w:rPr>
          <w:sz w:val="28"/>
          <w:szCs w:val="28"/>
        </w:rPr>
      </w:pPr>
      <w:r>
        <w:rPr>
          <w:rFonts w:hint="eastAsia"/>
          <w:sz w:val="28"/>
          <w:szCs w:val="28"/>
        </w:rPr>
        <w:t>三、设备培训要求</w:t>
      </w:r>
    </w:p>
    <w:p>
      <w:pPr>
        <w:ind w:firstLine="560" w:firstLineChars="200"/>
        <w:rPr>
          <w:sz w:val="28"/>
          <w:szCs w:val="28"/>
        </w:rPr>
      </w:pPr>
      <w:r>
        <w:rPr>
          <w:rFonts w:hint="eastAsia"/>
          <w:sz w:val="28"/>
          <w:szCs w:val="28"/>
        </w:rPr>
        <w:t>1.投标方需为招标方进行专场培训，培训时间不少于</w:t>
      </w:r>
      <w:r>
        <w:rPr>
          <w:rFonts w:hint="eastAsia"/>
          <w:sz w:val="28"/>
          <w:szCs w:val="28"/>
          <w:lang w:val="en-US" w:eastAsia="zh-CN"/>
        </w:rPr>
        <w:t>5</w:t>
      </w:r>
      <w:r>
        <w:rPr>
          <w:rFonts w:hint="eastAsia"/>
          <w:sz w:val="28"/>
          <w:szCs w:val="28"/>
        </w:rPr>
        <w:t>个工作日。</w:t>
      </w:r>
    </w:p>
    <w:p>
      <w:pPr>
        <w:ind w:firstLine="560" w:firstLineChars="200"/>
        <w:rPr>
          <w:sz w:val="28"/>
          <w:szCs w:val="28"/>
        </w:rPr>
      </w:pPr>
      <w:r>
        <w:rPr>
          <w:rFonts w:hint="eastAsia"/>
          <w:sz w:val="28"/>
          <w:szCs w:val="28"/>
        </w:rPr>
        <w:t>2.投标方需提供详细的培训方案，在投标文件中以附件的形式提供。</w:t>
      </w:r>
    </w:p>
    <w:p>
      <w:pPr>
        <w:ind w:firstLine="560" w:firstLineChars="200"/>
        <w:rPr>
          <w:sz w:val="28"/>
          <w:szCs w:val="28"/>
        </w:rPr>
      </w:pPr>
      <w:r>
        <w:rPr>
          <w:rFonts w:hint="eastAsia"/>
          <w:sz w:val="28"/>
          <w:szCs w:val="28"/>
        </w:rPr>
        <w:t>3.培训地点和日期由招标方决定。</w:t>
      </w:r>
    </w:p>
    <w:p>
      <w:pPr>
        <w:ind w:firstLine="560" w:firstLineChars="200"/>
        <w:rPr>
          <w:sz w:val="28"/>
          <w:szCs w:val="28"/>
        </w:rPr>
      </w:pPr>
      <w:r>
        <w:rPr>
          <w:rFonts w:hint="eastAsia"/>
          <w:sz w:val="28"/>
          <w:szCs w:val="28"/>
        </w:rPr>
        <w:t>四、商务要求</w:t>
      </w:r>
    </w:p>
    <w:p>
      <w:pPr>
        <w:ind w:firstLine="560" w:firstLineChars="200"/>
        <w:rPr>
          <w:sz w:val="28"/>
          <w:szCs w:val="28"/>
        </w:rPr>
      </w:pPr>
      <w:r>
        <w:rPr>
          <w:rFonts w:hint="eastAsia"/>
          <w:sz w:val="28"/>
          <w:szCs w:val="28"/>
        </w:rPr>
        <w:t>1.投标方需提供投标产品的使用用户名单；</w:t>
      </w:r>
    </w:p>
    <w:p>
      <w:pPr>
        <w:ind w:firstLine="560" w:firstLineChars="200"/>
        <w:rPr>
          <w:sz w:val="28"/>
          <w:szCs w:val="28"/>
        </w:rPr>
      </w:pPr>
      <w:r>
        <w:rPr>
          <w:rFonts w:hint="eastAsia"/>
          <w:sz w:val="28"/>
          <w:szCs w:val="28"/>
        </w:rPr>
        <w:t>3.注册资本不低于100万人民币，提供营业执照。</w:t>
      </w:r>
    </w:p>
    <w:p>
      <w:pPr>
        <w:ind w:firstLine="560" w:firstLineChars="200"/>
        <w:rPr>
          <w:sz w:val="28"/>
          <w:szCs w:val="28"/>
        </w:rPr>
      </w:pPr>
      <w:r>
        <w:rPr>
          <w:rFonts w:hint="eastAsia"/>
          <w:sz w:val="28"/>
          <w:szCs w:val="28"/>
        </w:rPr>
        <w:t>4.投标方需明确服务承诺，要求提供至少三年的硬件保修及终身软件升级、补丁服务；交货之日起三个月内出现故障免费更换。提供保修期内非质量问题的维修收费标准及保修期外保养收费标准</w:t>
      </w:r>
    </w:p>
    <w:p>
      <w:pPr>
        <w:ind w:firstLine="560" w:firstLineChars="200"/>
        <w:rPr>
          <w:sz w:val="28"/>
          <w:szCs w:val="28"/>
        </w:rPr>
      </w:pPr>
      <w:r>
        <w:rPr>
          <w:rFonts w:hint="eastAsia"/>
          <w:sz w:val="28"/>
          <w:szCs w:val="28"/>
        </w:rPr>
        <w:t>5.投标方需明确合同签订后的供货周期；</w:t>
      </w:r>
    </w:p>
    <w:p>
      <w:pPr>
        <w:ind w:firstLine="560" w:firstLineChars="200"/>
        <w:rPr>
          <w:sz w:val="28"/>
          <w:szCs w:val="28"/>
        </w:rPr>
      </w:pPr>
      <w:r>
        <w:rPr>
          <w:rFonts w:hint="eastAsia"/>
          <w:sz w:val="28"/>
          <w:szCs w:val="28"/>
        </w:rPr>
        <w:t>6.投标人需明确供货期。</w:t>
      </w:r>
    </w:p>
    <w:p>
      <w:pPr>
        <w:ind w:firstLine="560" w:firstLineChars="200"/>
        <w:rPr>
          <w:sz w:val="28"/>
          <w:szCs w:val="28"/>
        </w:rPr>
      </w:pPr>
    </w:p>
    <w:p>
      <w:pPr>
        <w:ind w:firstLine="560" w:firstLineChars="200"/>
        <w:rPr>
          <w:sz w:val="28"/>
          <w:szCs w:val="28"/>
        </w:rPr>
      </w:pPr>
    </w:p>
    <w:p>
      <w:pPr>
        <w:ind w:firstLine="880" w:firstLineChars="200"/>
        <w:jc w:val="center"/>
        <w:rPr>
          <w:sz w:val="44"/>
          <w:szCs w:val="44"/>
        </w:rPr>
      </w:pPr>
    </w:p>
    <w:p>
      <w:pPr>
        <w:ind w:firstLine="880" w:firstLineChars="200"/>
        <w:jc w:val="center"/>
        <w:rPr>
          <w:sz w:val="44"/>
          <w:szCs w:val="44"/>
        </w:rPr>
      </w:pPr>
      <w:r>
        <w:rPr>
          <w:rFonts w:hint="eastAsia"/>
          <w:sz w:val="44"/>
          <w:szCs w:val="44"/>
        </w:rPr>
        <w:t>第三章  投标函格式</w:t>
      </w:r>
    </w:p>
    <w:p>
      <w:pPr>
        <w:ind w:firstLine="560" w:firstLineChars="200"/>
        <w:jc w:val="center"/>
        <w:rPr>
          <w:sz w:val="28"/>
          <w:szCs w:val="28"/>
        </w:rPr>
      </w:pPr>
    </w:p>
    <w:p>
      <w:pPr>
        <w:ind w:firstLine="560" w:firstLineChars="200"/>
        <w:jc w:val="center"/>
        <w:rPr>
          <w:sz w:val="28"/>
          <w:szCs w:val="28"/>
        </w:rPr>
      </w:pPr>
      <w:r>
        <w:rPr>
          <w:rFonts w:hint="eastAsia"/>
          <w:sz w:val="28"/>
          <w:szCs w:val="28"/>
        </w:rPr>
        <w:t>投标函</w:t>
      </w:r>
    </w:p>
    <w:p>
      <w:pPr>
        <w:ind w:firstLine="560" w:firstLineChars="200"/>
        <w:rPr>
          <w:sz w:val="28"/>
          <w:szCs w:val="28"/>
        </w:rPr>
      </w:pPr>
      <w:r>
        <w:rPr>
          <w:rFonts w:hint="eastAsia"/>
          <w:sz w:val="28"/>
          <w:szCs w:val="28"/>
        </w:rPr>
        <w:t>致：达州日报社</w:t>
      </w:r>
    </w:p>
    <w:p>
      <w:pPr>
        <w:ind w:firstLine="560" w:firstLineChars="200"/>
        <w:rPr>
          <w:sz w:val="28"/>
          <w:szCs w:val="28"/>
        </w:rPr>
      </w:pPr>
      <w:r>
        <w:rPr>
          <w:rFonts w:hint="eastAsia"/>
          <w:sz w:val="28"/>
          <w:szCs w:val="28"/>
        </w:rPr>
        <w:t>根据贵方___________________________________________  项目招标公告，正式授权下述签字人______________________________ （姓名和职务）代表投标人 _______________________（投标人的名称），提交下述文件正本一份，副本四份。</w:t>
      </w:r>
    </w:p>
    <w:p>
      <w:pPr>
        <w:ind w:firstLine="560" w:firstLineChars="200"/>
        <w:rPr>
          <w:sz w:val="28"/>
          <w:szCs w:val="28"/>
        </w:rPr>
      </w:pPr>
      <w:r>
        <w:rPr>
          <w:rFonts w:hint="eastAsia"/>
          <w:sz w:val="28"/>
          <w:szCs w:val="28"/>
        </w:rPr>
        <w:t>1. 投标函</w:t>
      </w:r>
    </w:p>
    <w:p>
      <w:pPr>
        <w:ind w:firstLine="560" w:firstLineChars="200"/>
        <w:rPr>
          <w:sz w:val="28"/>
          <w:szCs w:val="28"/>
        </w:rPr>
      </w:pPr>
      <w:r>
        <w:rPr>
          <w:rFonts w:hint="eastAsia"/>
          <w:sz w:val="28"/>
          <w:szCs w:val="28"/>
        </w:rPr>
        <w:t>2. 投标报价表</w:t>
      </w:r>
    </w:p>
    <w:p>
      <w:pPr>
        <w:ind w:firstLine="560" w:firstLineChars="200"/>
        <w:rPr>
          <w:sz w:val="28"/>
          <w:szCs w:val="28"/>
        </w:rPr>
      </w:pPr>
      <w:r>
        <w:rPr>
          <w:rFonts w:hint="eastAsia"/>
          <w:sz w:val="28"/>
          <w:szCs w:val="28"/>
        </w:rPr>
        <w:t>3. 资格证明文件</w:t>
      </w:r>
    </w:p>
    <w:p>
      <w:pPr>
        <w:ind w:firstLine="560" w:firstLineChars="200"/>
        <w:rPr>
          <w:sz w:val="28"/>
          <w:szCs w:val="28"/>
        </w:rPr>
      </w:pPr>
      <w:r>
        <w:rPr>
          <w:rFonts w:hint="eastAsia"/>
          <w:sz w:val="28"/>
          <w:szCs w:val="28"/>
        </w:rPr>
        <w:t>据此函，签字人兹宣布同意如下：</w:t>
      </w:r>
    </w:p>
    <w:p>
      <w:pPr>
        <w:ind w:firstLine="560" w:firstLineChars="200"/>
        <w:rPr>
          <w:sz w:val="28"/>
          <w:szCs w:val="28"/>
        </w:rPr>
      </w:pPr>
      <w:r>
        <w:rPr>
          <w:rFonts w:hint="eastAsia"/>
          <w:sz w:val="28"/>
          <w:szCs w:val="28"/>
        </w:rPr>
        <w:t>（1） 按招标文件规定交付的货物和投标总价为____________（大写 ___________）元人民币。</w:t>
      </w:r>
    </w:p>
    <w:p>
      <w:pPr>
        <w:ind w:firstLine="560" w:firstLineChars="200"/>
        <w:rPr>
          <w:sz w:val="28"/>
          <w:szCs w:val="28"/>
        </w:rPr>
      </w:pPr>
      <w:r>
        <w:rPr>
          <w:rFonts w:hint="eastAsia"/>
          <w:sz w:val="28"/>
          <w:szCs w:val="28"/>
        </w:rPr>
        <w:t>（2）  我们承担根据招标文件的规定，完成合同的责任和义务。</w:t>
      </w:r>
    </w:p>
    <w:p>
      <w:pPr>
        <w:ind w:firstLine="560" w:firstLineChars="200"/>
        <w:rPr>
          <w:sz w:val="28"/>
          <w:szCs w:val="28"/>
        </w:rPr>
      </w:pPr>
      <w:r>
        <w:rPr>
          <w:rFonts w:hint="eastAsia"/>
          <w:sz w:val="28"/>
          <w:szCs w:val="28"/>
        </w:rPr>
        <w:t>（3） 我们已详细审核全部招标文件，我们知道必须放弃提出含糊不清或误解的问题和权利。</w:t>
      </w:r>
    </w:p>
    <w:p>
      <w:pPr>
        <w:ind w:firstLine="560" w:firstLineChars="200"/>
        <w:rPr>
          <w:sz w:val="28"/>
          <w:szCs w:val="28"/>
        </w:rPr>
      </w:pPr>
      <w:r>
        <w:rPr>
          <w:rFonts w:hint="eastAsia"/>
          <w:sz w:val="28"/>
          <w:szCs w:val="28"/>
        </w:rPr>
        <w:t>（4） 我们同意在开标日期起遵循本投标书，并在投标有效期之前均具有约束力，并有可能中标。</w:t>
      </w:r>
    </w:p>
    <w:p>
      <w:pPr>
        <w:ind w:firstLine="560" w:firstLineChars="200"/>
        <w:rPr>
          <w:sz w:val="28"/>
          <w:szCs w:val="28"/>
        </w:rPr>
      </w:pPr>
      <w:r>
        <w:rPr>
          <w:rFonts w:hint="eastAsia"/>
          <w:sz w:val="28"/>
          <w:szCs w:val="28"/>
        </w:rPr>
        <w:t>（5） 同意向贵方提供贵方要求的与本投标有关的资料。</w:t>
      </w:r>
    </w:p>
    <w:p>
      <w:pPr>
        <w:ind w:firstLine="560" w:firstLineChars="200"/>
        <w:rPr>
          <w:sz w:val="28"/>
          <w:szCs w:val="28"/>
        </w:rPr>
      </w:pPr>
      <w:r>
        <w:rPr>
          <w:rFonts w:hint="eastAsia"/>
          <w:sz w:val="28"/>
          <w:szCs w:val="28"/>
        </w:rPr>
        <w:t>（6） 我们完全理解贵方不一定要接受最低报价的投标或收到的任何投标。</w:t>
      </w:r>
    </w:p>
    <w:p>
      <w:pPr>
        <w:ind w:firstLine="560" w:firstLineChars="200"/>
        <w:rPr>
          <w:sz w:val="28"/>
          <w:szCs w:val="28"/>
        </w:rPr>
      </w:pPr>
      <w:r>
        <w:rPr>
          <w:rFonts w:hint="eastAsia"/>
          <w:sz w:val="28"/>
          <w:szCs w:val="28"/>
        </w:rPr>
        <w:t>与本投标有关的正式通讯地址为：</w:t>
      </w:r>
    </w:p>
    <w:p>
      <w:pPr>
        <w:ind w:firstLine="560" w:firstLineChars="200"/>
        <w:rPr>
          <w:sz w:val="28"/>
          <w:szCs w:val="28"/>
        </w:rPr>
      </w:pPr>
      <w:r>
        <w:rPr>
          <w:rFonts w:hint="eastAsia"/>
          <w:sz w:val="28"/>
          <w:szCs w:val="28"/>
        </w:rPr>
        <w:t>地址：______________________________________</w:t>
      </w:r>
    </w:p>
    <w:p>
      <w:pPr>
        <w:ind w:firstLine="560" w:firstLineChars="200"/>
        <w:rPr>
          <w:sz w:val="28"/>
          <w:szCs w:val="28"/>
        </w:rPr>
      </w:pPr>
      <w:r>
        <w:rPr>
          <w:rFonts w:hint="eastAsia"/>
          <w:sz w:val="28"/>
          <w:szCs w:val="28"/>
        </w:rPr>
        <w:t>电话：_______________</w:t>
      </w:r>
    </w:p>
    <w:p>
      <w:pPr>
        <w:ind w:firstLine="560" w:firstLineChars="200"/>
        <w:rPr>
          <w:sz w:val="28"/>
          <w:szCs w:val="28"/>
        </w:rPr>
      </w:pPr>
      <w:r>
        <w:rPr>
          <w:rFonts w:hint="eastAsia"/>
          <w:sz w:val="28"/>
          <w:szCs w:val="28"/>
        </w:rPr>
        <w:t>传真：_________________</w:t>
      </w:r>
    </w:p>
    <w:p>
      <w:pPr>
        <w:ind w:firstLine="560" w:firstLineChars="200"/>
        <w:rPr>
          <w:sz w:val="28"/>
          <w:szCs w:val="28"/>
        </w:rPr>
      </w:pPr>
      <w:r>
        <w:rPr>
          <w:rFonts w:hint="eastAsia"/>
          <w:sz w:val="28"/>
          <w:szCs w:val="28"/>
        </w:rPr>
        <w:t>邮政编码：________________</w:t>
      </w:r>
    </w:p>
    <w:p>
      <w:pPr>
        <w:ind w:firstLine="560" w:firstLineChars="200"/>
        <w:rPr>
          <w:sz w:val="28"/>
          <w:szCs w:val="28"/>
        </w:rPr>
      </w:pPr>
      <w:r>
        <w:rPr>
          <w:rFonts w:hint="eastAsia"/>
          <w:sz w:val="28"/>
          <w:szCs w:val="28"/>
        </w:rPr>
        <w:t>投标人代表姓名：__________________</w:t>
      </w:r>
    </w:p>
    <w:p>
      <w:pPr>
        <w:ind w:firstLine="560" w:firstLineChars="200"/>
        <w:rPr>
          <w:sz w:val="28"/>
          <w:szCs w:val="28"/>
        </w:rPr>
      </w:pPr>
      <w:r>
        <w:rPr>
          <w:rFonts w:hint="eastAsia"/>
          <w:sz w:val="28"/>
          <w:szCs w:val="28"/>
        </w:rPr>
        <w:t>公章：___________________________</w:t>
      </w:r>
    </w:p>
    <w:p>
      <w:pPr>
        <w:ind w:firstLine="560" w:firstLineChars="200"/>
        <w:rPr>
          <w:sz w:val="28"/>
          <w:szCs w:val="28"/>
        </w:rPr>
      </w:pPr>
      <w:r>
        <w:rPr>
          <w:rFonts w:hint="eastAsia"/>
          <w:sz w:val="28"/>
          <w:szCs w:val="28"/>
        </w:rPr>
        <w:t>日期：_______________________________</w:t>
      </w: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sectPr>
          <w:pgSz w:w="11906" w:h="16838"/>
          <w:pgMar w:top="1440" w:right="1701" w:bottom="1440" w:left="1701" w:header="851" w:footer="992" w:gutter="0"/>
          <w:cols w:space="425" w:num="1"/>
          <w:docGrid w:type="lines" w:linePitch="312" w:charSpace="0"/>
        </w:sectPr>
      </w:pPr>
    </w:p>
    <w:p>
      <w:pPr>
        <w:ind w:firstLine="560" w:firstLineChars="200"/>
        <w:rPr>
          <w:sz w:val="28"/>
          <w:szCs w:val="28"/>
        </w:rPr>
      </w:pPr>
    </w:p>
    <w:p>
      <w:pPr>
        <w:ind w:firstLine="880" w:firstLineChars="200"/>
        <w:jc w:val="center"/>
        <w:rPr>
          <w:sz w:val="44"/>
          <w:szCs w:val="44"/>
        </w:rPr>
      </w:pPr>
      <w:r>
        <w:rPr>
          <w:rFonts w:hint="eastAsia"/>
          <w:sz w:val="44"/>
          <w:szCs w:val="44"/>
        </w:rPr>
        <w:t>第四章  投标报价表</w:t>
      </w:r>
    </w:p>
    <w:p>
      <w:pPr>
        <w:ind w:firstLine="562" w:firstLineChars="200"/>
        <w:jc w:val="center"/>
        <w:rPr>
          <w:b/>
          <w:bCs/>
          <w:sz w:val="28"/>
          <w:szCs w:val="28"/>
        </w:rPr>
      </w:pPr>
    </w:p>
    <w:p>
      <w:pPr>
        <w:ind w:firstLine="562" w:firstLineChars="200"/>
        <w:jc w:val="center"/>
        <w:rPr>
          <w:b/>
          <w:bCs/>
          <w:sz w:val="28"/>
          <w:szCs w:val="28"/>
        </w:rPr>
      </w:pPr>
    </w:p>
    <w:p>
      <w:pPr>
        <w:ind w:firstLine="562" w:firstLineChars="200"/>
        <w:jc w:val="center"/>
        <w:rPr>
          <w:b/>
          <w:bCs/>
          <w:sz w:val="28"/>
          <w:szCs w:val="28"/>
        </w:rPr>
      </w:pPr>
      <w:r>
        <w:rPr>
          <w:rFonts w:hint="eastAsia"/>
          <w:b/>
          <w:bCs/>
          <w:sz w:val="28"/>
          <w:szCs w:val="28"/>
        </w:rPr>
        <w:t>投   标   报   价   表</w:t>
      </w:r>
    </w:p>
    <w:p>
      <w:pPr>
        <w:ind w:firstLine="560" w:firstLineChars="200"/>
        <w:rPr>
          <w:sz w:val="28"/>
          <w:szCs w:val="28"/>
        </w:rPr>
      </w:pPr>
      <w:r>
        <w:rPr>
          <w:rFonts w:hint="eastAsia"/>
          <w:sz w:val="28"/>
          <w:szCs w:val="28"/>
        </w:rPr>
        <w:t>                                                                                                   单位：（万元）</w:t>
      </w:r>
    </w:p>
    <w:tbl>
      <w:tblPr>
        <w:tblStyle w:val="5"/>
        <w:tblW w:w="8480" w:type="dxa"/>
        <w:tblInd w:w="0" w:type="dxa"/>
        <w:shd w:val="clear" w:color="auto" w:fill="FAF6F9"/>
        <w:tblLayout w:type="fixed"/>
        <w:tblCellMar>
          <w:top w:w="15" w:type="dxa"/>
          <w:left w:w="15" w:type="dxa"/>
          <w:bottom w:w="15" w:type="dxa"/>
          <w:right w:w="15" w:type="dxa"/>
        </w:tblCellMar>
      </w:tblPr>
      <w:tblGrid>
        <w:gridCol w:w="2726"/>
        <w:gridCol w:w="1581"/>
        <w:gridCol w:w="1872"/>
        <w:gridCol w:w="2301"/>
      </w:tblGrid>
      <w:tr>
        <w:tblPrEx>
          <w:shd w:val="clear" w:color="auto" w:fill="FAF6F9"/>
          <w:tblLayout w:type="fixed"/>
          <w:tblCellMar>
            <w:top w:w="15" w:type="dxa"/>
            <w:left w:w="15" w:type="dxa"/>
            <w:bottom w:w="15" w:type="dxa"/>
            <w:right w:w="15" w:type="dxa"/>
          </w:tblCellMar>
        </w:tblPrEx>
        <w:trPr>
          <w:trHeight w:val="1006" w:hRule="atLeast"/>
        </w:trPr>
        <w:tc>
          <w:tcPr>
            <w:tcW w:w="2726"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项目名称</w:t>
            </w:r>
          </w:p>
        </w:tc>
        <w:tc>
          <w:tcPr>
            <w:tcW w:w="1581"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投标价</w:t>
            </w:r>
          </w:p>
        </w:tc>
        <w:tc>
          <w:tcPr>
            <w:tcW w:w="1872"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交货日期</w:t>
            </w:r>
          </w:p>
        </w:tc>
        <w:tc>
          <w:tcPr>
            <w:tcW w:w="2301"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付款方式</w:t>
            </w:r>
          </w:p>
        </w:tc>
      </w:tr>
      <w:tr>
        <w:tblPrEx>
          <w:tblLayout w:type="fixed"/>
          <w:tblCellMar>
            <w:top w:w="15" w:type="dxa"/>
            <w:left w:w="15" w:type="dxa"/>
            <w:bottom w:w="15" w:type="dxa"/>
            <w:right w:w="15" w:type="dxa"/>
          </w:tblCellMar>
        </w:tblPrEx>
        <w:trPr>
          <w:trHeight w:val="1062" w:hRule="atLeast"/>
        </w:trPr>
        <w:tc>
          <w:tcPr>
            <w:tcW w:w="2726"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Arial" w:hAnsi="Arial" w:eastAsia="宋体" w:cs="Arial"/>
                <w:color w:val="333333"/>
                <w:kern w:val="0"/>
                <w:sz w:val="28"/>
                <w:szCs w:val="28"/>
              </w:rPr>
            </w:pPr>
          </w:p>
        </w:tc>
        <w:tc>
          <w:tcPr>
            <w:tcW w:w="1581"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c>
          <w:tcPr>
            <w:tcW w:w="1872"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c>
          <w:tcPr>
            <w:tcW w:w="2301"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hint="eastAsia" w:ascii="Arial" w:hAnsi="Arial" w:eastAsia="宋体" w:cs="Arial"/>
                <w:color w:val="333333"/>
                <w:kern w:val="0"/>
                <w:sz w:val="28"/>
                <w:szCs w:val="28"/>
                <w:lang w:eastAsia="zh-CN"/>
              </w:rPr>
            </w:pPr>
            <w:r>
              <w:rPr>
                <w:rFonts w:ascii="Arial" w:hAnsi="Arial" w:eastAsia="宋体" w:cs="Arial"/>
                <w:color w:val="333333"/>
                <w:kern w:val="0"/>
                <w:sz w:val="28"/>
                <w:szCs w:val="28"/>
              </w:rPr>
              <w:t>按合同</w:t>
            </w:r>
            <w:r>
              <w:rPr>
                <w:rFonts w:hint="eastAsia" w:ascii="Arial" w:hAnsi="Arial" w:eastAsia="宋体" w:cs="Arial"/>
                <w:color w:val="333333"/>
                <w:kern w:val="0"/>
                <w:sz w:val="28"/>
                <w:szCs w:val="28"/>
                <w:lang w:eastAsia="zh-CN"/>
              </w:rPr>
              <w:t>约定</w:t>
            </w:r>
          </w:p>
        </w:tc>
      </w:tr>
    </w:tbl>
    <w:p>
      <w:pPr>
        <w:ind w:firstLine="560" w:firstLineChars="200"/>
        <w:rPr>
          <w:sz w:val="28"/>
          <w:szCs w:val="28"/>
        </w:rPr>
      </w:pPr>
      <w:r>
        <w:rPr>
          <w:rFonts w:hint="eastAsia"/>
          <w:sz w:val="28"/>
          <w:szCs w:val="28"/>
        </w:rPr>
        <w:t>注：</w:t>
      </w:r>
    </w:p>
    <w:p>
      <w:pPr>
        <w:ind w:firstLine="560" w:firstLineChars="200"/>
        <w:rPr>
          <w:sz w:val="28"/>
          <w:szCs w:val="28"/>
        </w:rPr>
      </w:pPr>
      <w:r>
        <w:rPr>
          <w:rFonts w:hint="eastAsia"/>
          <w:sz w:val="28"/>
          <w:szCs w:val="28"/>
        </w:rPr>
        <w:t>1.填写此表时不得改变表格的形式。</w:t>
      </w:r>
    </w:p>
    <w:p>
      <w:pPr>
        <w:ind w:firstLine="560" w:firstLineChars="200"/>
        <w:rPr>
          <w:sz w:val="28"/>
          <w:szCs w:val="28"/>
        </w:rPr>
      </w:pPr>
      <w:r>
        <w:rPr>
          <w:rFonts w:hint="eastAsia"/>
          <w:sz w:val="28"/>
          <w:szCs w:val="28"/>
        </w:rPr>
        <w:t>2.投标总价包括设备总价、运费、保险费、系统集成费、软件接口开发费等全部费用。</w:t>
      </w:r>
    </w:p>
    <w:p>
      <w:pPr>
        <w:ind w:firstLine="560" w:firstLineChars="200"/>
        <w:rPr>
          <w:sz w:val="28"/>
          <w:szCs w:val="28"/>
        </w:rPr>
      </w:pPr>
      <w:r>
        <w:rPr>
          <w:rFonts w:hint="eastAsia"/>
          <w:sz w:val="28"/>
          <w:szCs w:val="28"/>
        </w:rPr>
        <w:t>法定代表人或其授权代表签字：______________（公章）</w:t>
      </w: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2" w:firstLineChars="200"/>
        <w:jc w:val="center"/>
        <w:rPr>
          <w:b/>
          <w:bCs/>
          <w:sz w:val="28"/>
          <w:szCs w:val="28"/>
        </w:rPr>
      </w:pPr>
      <w:r>
        <w:rPr>
          <w:rFonts w:hint="eastAsia"/>
          <w:b/>
          <w:bCs/>
          <w:sz w:val="28"/>
          <w:szCs w:val="28"/>
        </w:rPr>
        <w:t>分   项   报   价   表</w:t>
      </w:r>
    </w:p>
    <w:p>
      <w:pPr>
        <w:ind w:firstLine="560" w:firstLineChars="200"/>
        <w:rPr>
          <w:sz w:val="28"/>
          <w:szCs w:val="28"/>
        </w:rPr>
      </w:pPr>
      <w:r>
        <w:rPr>
          <w:rFonts w:hint="eastAsia"/>
          <w:sz w:val="28"/>
          <w:szCs w:val="28"/>
        </w:rPr>
        <w:t>　　　　　　　　　　　　　　　　　　　　　　　　单位（元）</w:t>
      </w:r>
    </w:p>
    <w:tbl>
      <w:tblPr>
        <w:tblStyle w:val="5"/>
        <w:tblpPr w:leftFromText="180" w:rightFromText="180" w:vertAnchor="text" w:horzAnchor="page" w:tblpX="1723" w:tblpY="201"/>
        <w:tblOverlap w:val="never"/>
        <w:tblW w:w="8499" w:type="dxa"/>
        <w:tblInd w:w="0" w:type="dxa"/>
        <w:shd w:val="clear" w:color="auto" w:fill="FAF6F9"/>
        <w:tblLayout w:type="fixed"/>
        <w:tblCellMar>
          <w:top w:w="15" w:type="dxa"/>
          <w:left w:w="15" w:type="dxa"/>
          <w:bottom w:w="15" w:type="dxa"/>
          <w:right w:w="15" w:type="dxa"/>
        </w:tblCellMar>
      </w:tblPr>
      <w:tblGrid>
        <w:gridCol w:w="622"/>
        <w:gridCol w:w="5565"/>
        <w:gridCol w:w="2312"/>
      </w:tblGrid>
      <w:tr>
        <w:tblPrEx>
          <w:shd w:val="clear" w:color="auto" w:fill="FAF6F9"/>
          <w:tblLayout w:type="fixed"/>
          <w:tblCellMar>
            <w:top w:w="15" w:type="dxa"/>
            <w:left w:w="15" w:type="dxa"/>
            <w:bottom w:w="15" w:type="dxa"/>
            <w:right w:w="15" w:type="dxa"/>
          </w:tblCellMar>
        </w:tblPrEx>
        <w:trPr>
          <w:trHeight w:val="606" w:hRule="atLeast"/>
        </w:trPr>
        <w:tc>
          <w:tcPr>
            <w:tcW w:w="622"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b/>
                <w:bCs/>
                <w:color w:val="333333"/>
                <w:kern w:val="0"/>
                <w:sz w:val="28"/>
                <w:szCs w:val="28"/>
              </w:rPr>
              <w:t>序</w:t>
            </w:r>
          </w:p>
        </w:tc>
        <w:tc>
          <w:tcPr>
            <w:tcW w:w="5565"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b/>
                <w:bCs/>
                <w:color w:val="333333"/>
                <w:kern w:val="0"/>
                <w:sz w:val="28"/>
                <w:szCs w:val="28"/>
              </w:rPr>
              <w:t>项目内容</w:t>
            </w:r>
          </w:p>
        </w:tc>
        <w:tc>
          <w:tcPr>
            <w:tcW w:w="2312"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b/>
                <w:bCs/>
                <w:color w:val="333333"/>
                <w:kern w:val="0"/>
                <w:sz w:val="28"/>
                <w:szCs w:val="28"/>
              </w:rPr>
              <w:t>价格</w:t>
            </w:r>
          </w:p>
        </w:tc>
      </w:tr>
      <w:tr>
        <w:tblPrEx>
          <w:tblLayout w:type="fixed"/>
          <w:tblCellMar>
            <w:top w:w="15" w:type="dxa"/>
            <w:left w:w="15" w:type="dxa"/>
            <w:bottom w:w="15" w:type="dxa"/>
            <w:right w:w="15" w:type="dxa"/>
          </w:tblCellMar>
        </w:tblPrEx>
        <w:trPr>
          <w:trHeight w:val="507" w:hRule="atLeast"/>
        </w:trPr>
        <w:tc>
          <w:tcPr>
            <w:tcW w:w="622"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c>
          <w:tcPr>
            <w:tcW w:w="5565"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c>
          <w:tcPr>
            <w:tcW w:w="2312"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r>
      <w:tr>
        <w:tblPrEx>
          <w:tblLayout w:type="fixed"/>
          <w:tblCellMar>
            <w:top w:w="15" w:type="dxa"/>
            <w:left w:w="15" w:type="dxa"/>
            <w:bottom w:w="15" w:type="dxa"/>
            <w:right w:w="15" w:type="dxa"/>
          </w:tblCellMar>
        </w:tblPrEx>
        <w:trPr>
          <w:trHeight w:val="449" w:hRule="atLeast"/>
        </w:trPr>
        <w:tc>
          <w:tcPr>
            <w:tcW w:w="622"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c>
          <w:tcPr>
            <w:tcW w:w="5565"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c>
          <w:tcPr>
            <w:tcW w:w="2312"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r>
      <w:tr>
        <w:tblPrEx>
          <w:tblLayout w:type="fixed"/>
          <w:tblCellMar>
            <w:top w:w="15" w:type="dxa"/>
            <w:left w:w="15" w:type="dxa"/>
            <w:bottom w:w="15" w:type="dxa"/>
            <w:right w:w="15" w:type="dxa"/>
          </w:tblCellMar>
        </w:tblPrEx>
        <w:trPr>
          <w:trHeight w:val="538" w:hRule="atLeast"/>
        </w:trPr>
        <w:tc>
          <w:tcPr>
            <w:tcW w:w="622"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c>
          <w:tcPr>
            <w:tcW w:w="5565"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c>
          <w:tcPr>
            <w:tcW w:w="2312"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r>
      <w:tr>
        <w:tblPrEx>
          <w:tblLayout w:type="fixed"/>
          <w:tblCellMar>
            <w:top w:w="15" w:type="dxa"/>
            <w:left w:w="15" w:type="dxa"/>
            <w:bottom w:w="15" w:type="dxa"/>
            <w:right w:w="15" w:type="dxa"/>
          </w:tblCellMar>
        </w:tblPrEx>
        <w:trPr>
          <w:trHeight w:val="412" w:hRule="atLeast"/>
        </w:trPr>
        <w:tc>
          <w:tcPr>
            <w:tcW w:w="622"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c>
          <w:tcPr>
            <w:tcW w:w="5565"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c>
          <w:tcPr>
            <w:tcW w:w="2312"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r>
      <w:tr>
        <w:tblPrEx>
          <w:tblLayout w:type="fixed"/>
          <w:tblCellMar>
            <w:top w:w="15" w:type="dxa"/>
            <w:left w:w="15" w:type="dxa"/>
            <w:bottom w:w="15" w:type="dxa"/>
            <w:right w:w="15" w:type="dxa"/>
          </w:tblCellMar>
        </w:tblPrEx>
        <w:trPr>
          <w:trHeight w:val="624" w:hRule="atLeast"/>
        </w:trPr>
        <w:tc>
          <w:tcPr>
            <w:tcW w:w="622"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Times New Roman" w:hAnsi="Times New Roman" w:eastAsia="Times New Roman" w:cs="Times New Roman"/>
                <w:kern w:val="0"/>
                <w:sz w:val="28"/>
                <w:szCs w:val="28"/>
              </w:rPr>
            </w:pPr>
          </w:p>
        </w:tc>
        <w:tc>
          <w:tcPr>
            <w:tcW w:w="5565" w:type="dxa"/>
            <w:tcBorders>
              <w:top w:val="single" w:color="999999" w:sz="6" w:space="0"/>
              <w:left w:val="single" w:color="999999" w:sz="6" w:space="0"/>
              <w:bottom w:val="single" w:color="999999" w:sz="6" w:space="0"/>
              <w:right w:val="single" w:color="999999" w:sz="6" w:space="0"/>
            </w:tcBorders>
            <w:shd w:val="clear" w:color="auto" w:fill="FAF6F9"/>
          </w:tcPr>
          <w:p>
            <w:pPr>
              <w:widowControl/>
              <w:spacing w:before="100" w:beforeAutospacing="1" w:after="100" w:afterAutospacing="1" w:line="480" w:lineRule="atLeast"/>
              <w:jc w:val="center"/>
              <w:rPr>
                <w:rFonts w:ascii="Arial" w:hAnsi="Arial" w:eastAsia="宋体" w:cs="Arial"/>
                <w:color w:val="333333"/>
                <w:kern w:val="0"/>
                <w:sz w:val="28"/>
                <w:szCs w:val="28"/>
              </w:rPr>
            </w:pPr>
            <w:r>
              <w:rPr>
                <w:rFonts w:ascii="Arial" w:hAnsi="Arial" w:eastAsia="宋体" w:cs="Arial"/>
                <w:color w:val="333333"/>
                <w:kern w:val="0"/>
                <w:sz w:val="28"/>
                <w:szCs w:val="28"/>
              </w:rPr>
              <w:t>总计</w:t>
            </w:r>
          </w:p>
        </w:tc>
        <w:tc>
          <w:tcPr>
            <w:tcW w:w="2312" w:type="dxa"/>
            <w:tcBorders>
              <w:top w:val="single" w:color="999999" w:sz="6" w:space="0"/>
              <w:left w:val="single" w:color="999999" w:sz="6" w:space="0"/>
              <w:bottom w:val="single" w:color="999999" w:sz="6" w:space="0"/>
              <w:right w:val="single" w:color="999999" w:sz="6" w:space="0"/>
            </w:tcBorders>
            <w:shd w:val="clear" w:color="auto" w:fill="FAF6F9"/>
          </w:tcPr>
          <w:p>
            <w:pPr>
              <w:widowControl/>
              <w:jc w:val="left"/>
              <w:rPr>
                <w:rFonts w:ascii="Arial" w:hAnsi="Arial" w:eastAsia="宋体" w:cs="Arial"/>
                <w:color w:val="333333"/>
                <w:kern w:val="0"/>
                <w:sz w:val="28"/>
                <w:szCs w:val="28"/>
              </w:rPr>
            </w:pPr>
          </w:p>
        </w:tc>
      </w:tr>
    </w:tbl>
    <w:p>
      <w:pPr>
        <w:ind w:firstLine="560" w:firstLineChars="200"/>
        <w:rPr>
          <w:sz w:val="28"/>
          <w:szCs w:val="28"/>
        </w:rPr>
      </w:pPr>
      <w:r>
        <w:rPr>
          <w:rFonts w:hint="eastAsia"/>
          <w:sz w:val="28"/>
          <w:szCs w:val="28"/>
        </w:rPr>
        <w:t>注：1.所有价格应按“招标文件”中规定的货币单位（人民币）填写。</w:t>
      </w:r>
    </w:p>
    <w:p>
      <w:pPr>
        <w:ind w:firstLine="560" w:firstLineChars="200"/>
        <w:rPr>
          <w:sz w:val="28"/>
          <w:szCs w:val="28"/>
        </w:rPr>
      </w:pPr>
      <w:r>
        <w:rPr>
          <w:rFonts w:hint="eastAsia"/>
          <w:sz w:val="28"/>
          <w:szCs w:val="28"/>
        </w:rPr>
        <w:t>   　2.所有设备应配有中文名称。</w:t>
      </w:r>
    </w:p>
    <w:p>
      <w:pPr>
        <w:ind w:firstLine="560" w:firstLineChars="200"/>
        <w:rPr>
          <w:sz w:val="28"/>
          <w:szCs w:val="28"/>
        </w:rPr>
      </w:pPr>
      <w:r>
        <w:rPr>
          <w:rFonts w:hint="eastAsia"/>
          <w:sz w:val="28"/>
          <w:szCs w:val="28"/>
        </w:rPr>
        <w:t>法定代表人或其授权代表签字：______________________（公章）</w:t>
      </w:r>
    </w:p>
    <w:p>
      <w:pPr>
        <w:ind w:firstLine="560" w:firstLineChars="200"/>
        <w:rPr>
          <w:sz w:val="28"/>
          <w:szCs w:val="28"/>
        </w:rPr>
      </w:pPr>
    </w:p>
    <w:p>
      <w:pPr>
        <w:ind w:firstLine="560" w:firstLineChars="200"/>
        <w:rPr>
          <w:sz w:val="28"/>
          <w:szCs w:val="28"/>
        </w:rPr>
      </w:pPr>
    </w:p>
    <w:p>
      <w:pPr>
        <w:ind w:firstLine="560" w:firstLineChars="200"/>
        <w:rPr>
          <w:sz w:val="28"/>
          <w:szCs w:val="28"/>
        </w:rPr>
        <w:sectPr>
          <w:pgSz w:w="11906" w:h="16838"/>
          <w:pgMar w:top="1440" w:right="1701" w:bottom="1440" w:left="1701" w:header="851" w:footer="992" w:gutter="0"/>
          <w:cols w:space="425" w:num="1"/>
          <w:docGrid w:type="lines" w:linePitch="312" w:charSpace="0"/>
        </w:sectPr>
      </w:pPr>
    </w:p>
    <w:p>
      <w:pPr>
        <w:ind w:firstLine="880" w:firstLineChars="200"/>
        <w:jc w:val="center"/>
        <w:rPr>
          <w:rFonts w:hint="eastAsia"/>
          <w:sz w:val="44"/>
          <w:szCs w:val="44"/>
        </w:rPr>
      </w:pPr>
    </w:p>
    <w:p>
      <w:pPr>
        <w:ind w:firstLine="880" w:firstLineChars="200"/>
        <w:jc w:val="center"/>
        <w:rPr>
          <w:sz w:val="44"/>
          <w:szCs w:val="44"/>
        </w:rPr>
      </w:pPr>
      <w:r>
        <w:rPr>
          <w:rFonts w:hint="eastAsia"/>
          <w:sz w:val="44"/>
          <w:szCs w:val="44"/>
        </w:rPr>
        <w:t>第五章   资格证明文件</w:t>
      </w:r>
    </w:p>
    <w:p>
      <w:pPr>
        <w:ind w:firstLine="560" w:firstLineChars="200"/>
        <w:rPr>
          <w:sz w:val="28"/>
          <w:szCs w:val="28"/>
        </w:rPr>
      </w:pPr>
    </w:p>
    <w:p>
      <w:pPr>
        <w:ind w:firstLine="560" w:firstLineChars="200"/>
        <w:rPr>
          <w:sz w:val="28"/>
          <w:szCs w:val="28"/>
        </w:rPr>
      </w:pPr>
      <w:r>
        <w:rPr>
          <w:rFonts w:hint="eastAsia"/>
          <w:sz w:val="28"/>
          <w:szCs w:val="28"/>
        </w:rPr>
        <w:t>1. 企业法人营业执照（复印件加盖公章）</w:t>
      </w:r>
    </w:p>
    <w:p>
      <w:pPr>
        <w:ind w:firstLine="560" w:firstLineChars="200"/>
        <w:rPr>
          <w:sz w:val="28"/>
          <w:szCs w:val="28"/>
        </w:rPr>
      </w:pPr>
      <w:r>
        <w:rPr>
          <w:rFonts w:hint="eastAsia"/>
          <w:sz w:val="28"/>
          <w:szCs w:val="28"/>
        </w:rPr>
        <w:t>2. 法定代表人授权书</w:t>
      </w:r>
    </w:p>
    <w:p>
      <w:pPr>
        <w:ind w:firstLine="560" w:firstLineChars="200"/>
        <w:rPr>
          <w:sz w:val="28"/>
          <w:szCs w:val="28"/>
        </w:rPr>
      </w:pPr>
      <w:r>
        <w:rPr>
          <w:rFonts w:hint="eastAsia"/>
          <w:sz w:val="28"/>
          <w:szCs w:val="28"/>
        </w:rPr>
        <w:t>3.  货物保修服务及信用保证措施</w:t>
      </w:r>
    </w:p>
    <w:p>
      <w:pPr>
        <w:ind w:firstLine="560" w:firstLineChars="200"/>
        <w:rPr>
          <w:sz w:val="28"/>
          <w:szCs w:val="28"/>
        </w:rPr>
      </w:pPr>
      <w:r>
        <w:rPr>
          <w:rFonts w:hint="eastAsia"/>
          <w:sz w:val="28"/>
          <w:szCs w:val="28"/>
          <w:lang w:val="en-US" w:eastAsia="zh-CN"/>
        </w:rPr>
        <w:t>4.</w:t>
      </w:r>
      <w:r>
        <w:rPr>
          <w:rFonts w:hint="eastAsia"/>
          <w:sz w:val="28"/>
          <w:szCs w:val="28"/>
        </w:rPr>
        <w:t> 其他</w:t>
      </w: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880" w:firstLineChars="200"/>
        <w:jc w:val="center"/>
        <w:rPr>
          <w:sz w:val="44"/>
          <w:szCs w:val="44"/>
        </w:rPr>
      </w:pPr>
      <w:r>
        <w:rPr>
          <w:rFonts w:hint="eastAsia"/>
          <w:sz w:val="44"/>
          <w:szCs w:val="44"/>
        </w:rPr>
        <w:t>第六章 评分细则</w:t>
      </w:r>
    </w:p>
    <w:p>
      <w:pPr>
        <w:ind w:firstLine="560" w:firstLineChars="200"/>
        <w:rPr>
          <w:sz w:val="28"/>
          <w:szCs w:val="28"/>
        </w:rPr>
      </w:pPr>
    </w:p>
    <w:p>
      <w:pPr>
        <w:ind w:firstLine="560" w:firstLineChars="200"/>
        <w:rPr>
          <w:sz w:val="28"/>
          <w:szCs w:val="28"/>
        </w:rPr>
      </w:pPr>
      <w:r>
        <w:rPr>
          <w:rFonts w:hint="eastAsia"/>
          <w:sz w:val="28"/>
          <w:szCs w:val="28"/>
        </w:rPr>
        <w:t>附表一：</w:t>
      </w:r>
    </w:p>
    <w:p>
      <w:pPr>
        <w:ind w:firstLine="560" w:firstLineChars="200"/>
        <w:jc w:val="center"/>
        <w:rPr>
          <w:sz w:val="28"/>
          <w:szCs w:val="28"/>
        </w:rPr>
      </w:pPr>
      <w:r>
        <w:rPr>
          <w:rFonts w:hint="eastAsia"/>
          <w:sz w:val="28"/>
          <w:szCs w:val="28"/>
        </w:rPr>
        <w:t>技术评分细则</w:t>
      </w:r>
    </w:p>
    <w:tbl>
      <w:tblPr>
        <w:tblStyle w:val="5"/>
        <w:tblpPr w:leftFromText="180" w:rightFromText="180" w:vertAnchor="text" w:horzAnchor="page" w:tblpX="2129" w:tblpY="251"/>
        <w:tblOverlap w:val="never"/>
        <w:tblW w:w="8214" w:type="dxa"/>
        <w:tblInd w:w="0" w:type="dxa"/>
        <w:tblLayout w:type="fixed"/>
        <w:tblCellMar>
          <w:top w:w="15" w:type="dxa"/>
          <w:left w:w="15" w:type="dxa"/>
          <w:bottom w:w="15" w:type="dxa"/>
          <w:right w:w="15" w:type="dxa"/>
        </w:tblCellMar>
      </w:tblPr>
      <w:tblGrid>
        <w:gridCol w:w="701"/>
        <w:gridCol w:w="3077"/>
        <w:gridCol w:w="2168"/>
        <w:gridCol w:w="1134"/>
        <w:gridCol w:w="1134"/>
      </w:tblGrid>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序号</w:t>
            </w:r>
          </w:p>
        </w:tc>
        <w:tc>
          <w:tcPr>
            <w:tcW w:w="5245" w:type="dxa"/>
            <w:gridSpan w:val="2"/>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评分项目</w:t>
            </w:r>
          </w:p>
        </w:tc>
        <w:tc>
          <w:tcPr>
            <w:tcW w:w="1134"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分配分数</w:t>
            </w:r>
          </w:p>
        </w:tc>
        <w:tc>
          <w:tcPr>
            <w:tcW w:w="1134"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评分</w:t>
            </w: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1</w:t>
            </w:r>
          </w:p>
        </w:tc>
        <w:tc>
          <w:tcPr>
            <w:tcW w:w="5245" w:type="dxa"/>
            <w:gridSpan w:val="2"/>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所投产品基本响应即满足招标文件主要的技术指标、参数要求</w:t>
            </w:r>
          </w:p>
        </w:tc>
        <w:tc>
          <w:tcPr>
            <w:tcW w:w="1134"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10</w:t>
            </w:r>
          </w:p>
        </w:tc>
        <w:tc>
          <w:tcPr>
            <w:tcW w:w="1134"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2</w:t>
            </w:r>
          </w:p>
        </w:tc>
        <w:tc>
          <w:tcPr>
            <w:tcW w:w="5245" w:type="dxa"/>
            <w:gridSpan w:val="2"/>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所投货物技术指标优于招标文件要求的，每一项正偏离最高加1分，最高加5分</w:t>
            </w:r>
          </w:p>
        </w:tc>
        <w:tc>
          <w:tcPr>
            <w:tcW w:w="1134"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5</w:t>
            </w:r>
          </w:p>
        </w:tc>
        <w:tc>
          <w:tcPr>
            <w:tcW w:w="1134"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hint="eastAsia" w:ascii="宋体" w:hAnsi="宋体" w:eastAsia="宋体" w:cs="宋体"/>
                <w:kern w:val="0"/>
                <w:sz w:val="24"/>
              </w:rPr>
              <w:t>3</w:t>
            </w:r>
          </w:p>
        </w:tc>
        <w:tc>
          <w:tcPr>
            <w:tcW w:w="5245" w:type="dxa"/>
            <w:gridSpan w:val="2"/>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设备安装调试方案</w:t>
            </w:r>
          </w:p>
        </w:tc>
        <w:tc>
          <w:tcPr>
            <w:tcW w:w="1134"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hint="eastAsia" w:ascii="宋体" w:hAnsi="宋体" w:eastAsia="宋体" w:cs="宋体"/>
                <w:kern w:val="0"/>
                <w:sz w:val="24"/>
              </w:rPr>
              <w:t>10</w:t>
            </w:r>
          </w:p>
        </w:tc>
        <w:tc>
          <w:tcPr>
            <w:tcW w:w="1134"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hint="eastAsia" w:ascii="宋体" w:hAnsi="宋体" w:eastAsia="宋体" w:cs="宋体"/>
                <w:kern w:val="0"/>
                <w:sz w:val="24"/>
              </w:rPr>
              <w:t>4</w:t>
            </w:r>
          </w:p>
        </w:tc>
        <w:tc>
          <w:tcPr>
            <w:tcW w:w="5245" w:type="dxa"/>
            <w:gridSpan w:val="2"/>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购设备的集成互联</w:t>
            </w:r>
          </w:p>
        </w:tc>
        <w:tc>
          <w:tcPr>
            <w:tcW w:w="1134"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w:t>
            </w:r>
          </w:p>
        </w:tc>
        <w:tc>
          <w:tcPr>
            <w:tcW w:w="1134"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hint="eastAsia" w:ascii="宋体" w:hAnsi="宋体" w:eastAsia="宋体" w:cs="宋体"/>
                <w:kern w:val="0"/>
                <w:sz w:val="24"/>
              </w:rPr>
              <w:t>5</w:t>
            </w:r>
          </w:p>
        </w:tc>
        <w:tc>
          <w:tcPr>
            <w:tcW w:w="5245" w:type="dxa"/>
            <w:gridSpan w:val="2"/>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项目人员及进度安排：项目人员安排 、整个项目施工组织设计及时间进度</w:t>
            </w:r>
          </w:p>
        </w:tc>
        <w:tc>
          <w:tcPr>
            <w:tcW w:w="1134"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w:t>
            </w:r>
          </w:p>
        </w:tc>
        <w:tc>
          <w:tcPr>
            <w:tcW w:w="1134"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vMerge w:val="restart"/>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hint="eastAsia" w:ascii="宋体" w:hAnsi="宋体" w:eastAsia="宋体" w:cs="宋体"/>
                <w:kern w:val="0"/>
                <w:sz w:val="24"/>
              </w:rPr>
              <w:t>6</w:t>
            </w:r>
          </w:p>
        </w:tc>
        <w:tc>
          <w:tcPr>
            <w:tcW w:w="3077" w:type="dxa"/>
            <w:vMerge w:val="restart"/>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项目验收方案</w:t>
            </w:r>
          </w:p>
        </w:tc>
        <w:tc>
          <w:tcPr>
            <w:tcW w:w="2168"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设备验收方案</w:t>
            </w:r>
          </w:p>
        </w:tc>
        <w:tc>
          <w:tcPr>
            <w:tcW w:w="1134"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w:t>
            </w:r>
          </w:p>
        </w:tc>
        <w:tc>
          <w:tcPr>
            <w:tcW w:w="1134"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vMerge w:val="continue"/>
            <w:tcBorders>
              <w:top w:val="single" w:color="999999" w:sz="6" w:space="0"/>
              <w:left w:val="single" w:color="999999" w:sz="6" w:space="0"/>
              <w:bottom w:val="single" w:color="999999" w:sz="6" w:space="0"/>
              <w:right w:val="single" w:color="999999" w:sz="6" w:space="0"/>
            </w:tcBorders>
            <w:vAlign w:val="center"/>
          </w:tcPr>
          <w:p>
            <w:pPr>
              <w:widowControl/>
              <w:spacing w:line="345" w:lineRule="atLeast"/>
              <w:jc w:val="center"/>
              <w:rPr>
                <w:rFonts w:ascii="宋体" w:hAnsi="宋体" w:eastAsia="宋体" w:cs="宋体"/>
                <w:kern w:val="0"/>
                <w:sz w:val="24"/>
              </w:rPr>
            </w:pPr>
          </w:p>
        </w:tc>
        <w:tc>
          <w:tcPr>
            <w:tcW w:w="3077" w:type="dxa"/>
            <w:vMerge w:val="continue"/>
            <w:tcBorders>
              <w:top w:val="single" w:color="999999" w:sz="6" w:space="0"/>
              <w:left w:val="single" w:color="999999" w:sz="6" w:space="0"/>
              <w:bottom w:val="single" w:color="999999" w:sz="6" w:space="0"/>
              <w:right w:val="single" w:color="999999" w:sz="6" w:space="0"/>
            </w:tcBorders>
            <w:vAlign w:val="center"/>
          </w:tcPr>
          <w:p>
            <w:pPr>
              <w:widowControl/>
              <w:spacing w:line="345" w:lineRule="atLeast"/>
              <w:jc w:val="center"/>
              <w:rPr>
                <w:rFonts w:ascii="宋体" w:hAnsi="宋体" w:eastAsia="宋体" w:cs="宋体"/>
                <w:kern w:val="0"/>
                <w:sz w:val="24"/>
              </w:rPr>
            </w:pPr>
          </w:p>
        </w:tc>
        <w:tc>
          <w:tcPr>
            <w:tcW w:w="2168"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系统联调验收方案</w:t>
            </w:r>
          </w:p>
        </w:tc>
        <w:tc>
          <w:tcPr>
            <w:tcW w:w="1134" w:type="dxa"/>
            <w:tcBorders>
              <w:top w:val="single" w:color="999999" w:sz="6" w:space="0"/>
              <w:left w:val="single" w:color="999999" w:sz="6" w:space="0"/>
              <w:bottom w:val="single" w:color="999999" w:sz="6" w:space="0"/>
              <w:right w:val="single" w:color="999999" w:sz="6" w:space="0"/>
            </w:tcBorders>
            <w:vAlign w:val="center"/>
          </w:tcPr>
          <w:p>
            <w:pPr>
              <w:widowControl/>
              <w:spacing w:before="100" w:beforeAutospacing="1" w:after="100" w:afterAutospacing="1" w:line="48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w:t>
            </w:r>
          </w:p>
        </w:tc>
        <w:tc>
          <w:tcPr>
            <w:tcW w:w="1134"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bl>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r>
        <w:rPr>
          <w:rFonts w:hint="eastAsia"/>
          <w:sz w:val="28"/>
          <w:szCs w:val="28"/>
        </w:rPr>
        <w:t>附表二：</w:t>
      </w:r>
    </w:p>
    <w:p>
      <w:pPr>
        <w:ind w:firstLine="560" w:firstLineChars="200"/>
        <w:jc w:val="center"/>
        <w:rPr>
          <w:sz w:val="28"/>
          <w:szCs w:val="28"/>
        </w:rPr>
      </w:pPr>
      <w:r>
        <w:rPr>
          <w:rFonts w:hint="eastAsia"/>
          <w:sz w:val="28"/>
          <w:szCs w:val="28"/>
        </w:rPr>
        <w:t>商务评分细则</w:t>
      </w:r>
    </w:p>
    <w:tbl>
      <w:tblPr>
        <w:tblStyle w:val="5"/>
        <w:tblW w:w="8214" w:type="dxa"/>
        <w:tblInd w:w="0" w:type="dxa"/>
        <w:tblLayout w:type="fixed"/>
        <w:tblCellMar>
          <w:top w:w="15" w:type="dxa"/>
          <w:left w:w="15" w:type="dxa"/>
          <w:bottom w:w="15" w:type="dxa"/>
          <w:right w:w="15" w:type="dxa"/>
        </w:tblCellMar>
      </w:tblPr>
      <w:tblGrid>
        <w:gridCol w:w="701"/>
        <w:gridCol w:w="4961"/>
        <w:gridCol w:w="1276"/>
        <w:gridCol w:w="1276"/>
      </w:tblGrid>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序号</w:t>
            </w:r>
          </w:p>
        </w:tc>
        <w:tc>
          <w:tcPr>
            <w:tcW w:w="496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评分项目</w:t>
            </w:r>
          </w:p>
        </w:tc>
        <w:tc>
          <w:tcPr>
            <w:tcW w:w="1276"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分配分数</w:t>
            </w:r>
          </w:p>
        </w:tc>
        <w:tc>
          <w:tcPr>
            <w:tcW w:w="1276"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评分</w:t>
            </w: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1</w:t>
            </w:r>
          </w:p>
        </w:tc>
        <w:tc>
          <w:tcPr>
            <w:tcW w:w="496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制造商质量管理体系认证</w:t>
            </w:r>
          </w:p>
        </w:tc>
        <w:tc>
          <w:tcPr>
            <w:tcW w:w="1276"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2</w:t>
            </w:r>
          </w:p>
        </w:tc>
        <w:tc>
          <w:tcPr>
            <w:tcW w:w="1276"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2</w:t>
            </w:r>
          </w:p>
        </w:tc>
        <w:tc>
          <w:tcPr>
            <w:tcW w:w="496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投标文件制造质量、技术文件的齐全程度</w:t>
            </w:r>
          </w:p>
        </w:tc>
        <w:tc>
          <w:tcPr>
            <w:tcW w:w="1276"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1</w:t>
            </w:r>
          </w:p>
        </w:tc>
        <w:tc>
          <w:tcPr>
            <w:tcW w:w="1276"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3</w:t>
            </w:r>
          </w:p>
        </w:tc>
        <w:tc>
          <w:tcPr>
            <w:tcW w:w="496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投标产品原厂商服务承诺函</w:t>
            </w:r>
          </w:p>
        </w:tc>
        <w:tc>
          <w:tcPr>
            <w:tcW w:w="1276"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6</w:t>
            </w:r>
          </w:p>
        </w:tc>
        <w:tc>
          <w:tcPr>
            <w:tcW w:w="1276"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4</w:t>
            </w:r>
          </w:p>
        </w:tc>
        <w:tc>
          <w:tcPr>
            <w:tcW w:w="496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商务条款响应程度</w:t>
            </w:r>
          </w:p>
        </w:tc>
        <w:tc>
          <w:tcPr>
            <w:tcW w:w="1276"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3</w:t>
            </w:r>
          </w:p>
        </w:tc>
        <w:tc>
          <w:tcPr>
            <w:tcW w:w="1276"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5</w:t>
            </w:r>
          </w:p>
        </w:tc>
        <w:tc>
          <w:tcPr>
            <w:tcW w:w="496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对故障的反应及排除时间承诺</w:t>
            </w:r>
          </w:p>
        </w:tc>
        <w:tc>
          <w:tcPr>
            <w:tcW w:w="1276"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2</w:t>
            </w:r>
          </w:p>
        </w:tc>
        <w:tc>
          <w:tcPr>
            <w:tcW w:w="1276"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6</w:t>
            </w:r>
          </w:p>
        </w:tc>
        <w:tc>
          <w:tcPr>
            <w:tcW w:w="496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对设备的定时维护及检修承诺</w:t>
            </w:r>
          </w:p>
        </w:tc>
        <w:tc>
          <w:tcPr>
            <w:tcW w:w="1276"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2</w:t>
            </w:r>
          </w:p>
        </w:tc>
        <w:tc>
          <w:tcPr>
            <w:tcW w:w="1276"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7</w:t>
            </w:r>
          </w:p>
        </w:tc>
        <w:tc>
          <w:tcPr>
            <w:tcW w:w="496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投标产品的培训方案</w:t>
            </w:r>
          </w:p>
        </w:tc>
        <w:tc>
          <w:tcPr>
            <w:tcW w:w="1276"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2</w:t>
            </w:r>
          </w:p>
        </w:tc>
        <w:tc>
          <w:tcPr>
            <w:tcW w:w="1276"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r>
        <w:tblPrEx>
          <w:tblLayout w:type="fixed"/>
          <w:tblCellMar>
            <w:top w:w="15" w:type="dxa"/>
            <w:left w:w="15" w:type="dxa"/>
            <w:bottom w:w="15" w:type="dxa"/>
            <w:right w:w="15" w:type="dxa"/>
          </w:tblCellMar>
        </w:tblPrEx>
        <w:tc>
          <w:tcPr>
            <w:tcW w:w="70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8</w:t>
            </w:r>
          </w:p>
        </w:tc>
        <w:tc>
          <w:tcPr>
            <w:tcW w:w="4961"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提供技术服务承诺</w:t>
            </w:r>
          </w:p>
        </w:tc>
        <w:tc>
          <w:tcPr>
            <w:tcW w:w="1276" w:type="dxa"/>
            <w:tcBorders>
              <w:top w:val="single" w:color="999999" w:sz="6" w:space="0"/>
              <w:left w:val="single" w:color="999999" w:sz="6" w:space="0"/>
              <w:bottom w:val="single" w:color="999999" w:sz="6" w:space="0"/>
              <w:right w:val="single" w:color="999999" w:sz="6" w:space="0"/>
            </w:tcBorders>
          </w:tcPr>
          <w:p>
            <w:pPr>
              <w:widowControl/>
              <w:spacing w:before="100" w:beforeAutospacing="1" w:after="100" w:afterAutospacing="1" w:line="480" w:lineRule="atLeast"/>
              <w:jc w:val="center"/>
              <w:rPr>
                <w:rFonts w:ascii="宋体" w:hAnsi="宋体" w:eastAsia="宋体" w:cs="宋体"/>
                <w:kern w:val="0"/>
                <w:sz w:val="24"/>
              </w:rPr>
            </w:pPr>
            <w:r>
              <w:rPr>
                <w:rFonts w:ascii="宋体" w:hAnsi="宋体" w:eastAsia="宋体" w:cs="宋体"/>
                <w:kern w:val="0"/>
                <w:sz w:val="24"/>
              </w:rPr>
              <w:t>2</w:t>
            </w:r>
          </w:p>
        </w:tc>
        <w:tc>
          <w:tcPr>
            <w:tcW w:w="1276" w:type="dxa"/>
            <w:tcBorders>
              <w:top w:val="single" w:color="999999" w:sz="6" w:space="0"/>
              <w:left w:val="single" w:color="999999" w:sz="6" w:space="0"/>
              <w:bottom w:val="single" w:color="999999" w:sz="6" w:space="0"/>
              <w:right w:val="single" w:color="999999" w:sz="6" w:space="0"/>
            </w:tcBorders>
          </w:tcPr>
          <w:p>
            <w:pPr>
              <w:widowControl/>
              <w:jc w:val="left"/>
              <w:rPr>
                <w:rFonts w:ascii="宋体" w:hAnsi="宋体" w:eastAsia="宋体" w:cs="宋体"/>
                <w:kern w:val="0"/>
                <w:sz w:val="24"/>
              </w:rPr>
            </w:pPr>
          </w:p>
        </w:tc>
      </w:tr>
    </w:tbl>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r>
        <w:rPr>
          <w:rFonts w:hint="eastAsia"/>
          <w:sz w:val="28"/>
          <w:szCs w:val="28"/>
        </w:rPr>
        <w:t>价格评分细则</w:t>
      </w:r>
    </w:p>
    <w:p>
      <w:pPr>
        <w:ind w:firstLine="560" w:firstLineChars="200"/>
        <w:jc w:val="left"/>
        <w:rPr>
          <w:sz w:val="28"/>
          <w:szCs w:val="28"/>
        </w:rPr>
      </w:pPr>
      <w:r>
        <w:rPr>
          <w:rFonts w:hint="eastAsia"/>
          <w:sz w:val="28"/>
          <w:szCs w:val="28"/>
        </w:rPr>
        <w:t>以最低报价确定为基准报价，基准价格得基准分40分，并按(基准价/投标报价)*40计算其它投标人的分值，保留小数点后两位。</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30496"/>
    <w:rsid w:val="00227A47"/>
    <w:rsid w:val="00BC1EBB"/>
    <w:rsid w:val="00C406DB"/>
    <w:rsid w:val="00D94230"/>
    <w:rsid w:val="00ED514E"/>
    <w:rsid w:val="0C937FC2"/>
    <w:rsid w:val="416B4555"/>
    <w:rsid w:val="54F34F63"/>
    <w:rsid w:val="6E136F9D"/>
    <w:rsid w:val="736F2865"/>
    <w:rsid w:val="76E54B9E"/>
    <w:rsid w:val="7C8304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before="120" w:after="120" w:line="360" w:lineRule="auto"/>
      <w:ind w:firstLine="480" w:firstLine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833</Words>
  <Characters>4749</Characters>
  <Lines>39</Lines>
  <Paragraphs>11</Paragraphs>
  <TotalTime>15</TotalTime>
  <ScaleCrop>false</ScaleCrop>
  <LinksUpToDate>false</LinksUpToDate>
  <CharactersWithSpaces>5571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2019-04-08T06:58:00Z</dcterms:created>
  <dc:creator>王勇</dc:creator>
  <cp:lastModifiedBy>王勇</cp:lastModifiedBy>
  <dcterms:modified xsi:type="dcterms:W3CDTF">2019-05-31T08:42:33Z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