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F7" w:rsidRPr="00954731" w:rsidRDefault="00954731" w:rsidP="00954731">
      <w:pPr>
        <w:jc w:val="center"/>
        <w:rPr>
          <w:rFonts w:ascii="方正小标宋简体" w:eastAsia="方正小标宋简体"/>
          <w:sz w:val="32"/>
          <w:szCs w:val="32"/>
        </w:rPr>
      </w:pPr>
      <w:r w:rsidRPr="00954731">
        <w:rPr>
          <w:rFonts w:ascii="方正小标宋简体" w:eastAsia="方正小标宋简体" w:hint="eastAsia"/>
          <w:sz w:val="32"/>
          <w:szCs w:val="32"/>
        </w:rPr>
        <w:t>产品性能参数基本要求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954731" w:rsidTr="00D647C9">
        <w:trPr>
          <w:trHeight w:val="1630"/>
          <w:jc w:val="center"/>
        </w:trPr>
        <w:tc>
          <w:tcPr>
            <w:tcW w:w="1696" w:type="dxa"/>
            <w:vAlign w:val="center"/>
          </w:tcPr>
          <w:p w:rsidR="00954731" w:rsidRPr="00954731" w:rsidRDefault="00954731" w:rsidP="00D647C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54731">
              <w:rPr>
                <w:rFonts w:ascii="黑体" w:eastAsia="黑体" w:hAnsi="黑体" w:hint="eastAsia"/>
                <w:sz w:val="32"/>
                <w:szCs w:val="32"/>
              </w:rPr>
              <w:t>防火墙</w:t>
            </w:r>
          </w:p>
        </w:tc>
        <w:tc>
          <w:tcPr>
            <w:tcW w:w="6600" w:type="dxa"/>
            <w:vAlign w:val="center"/>
          </w:tcPr>
          <w:p w:rsidR="00954731" w:rsidRPr="0088085A" w:rsidRDefault="00D647C9" w:rsidP="00D647C9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采用多核架构；</w:t>
            </w:r>
            <w:r w:rsidR="00954731" w:rsidRPr="0088085A">
              <w:rPr>
                <w:rFonts w:ascii="仿宋" w:eastAsia="仿宋" w:hAnsi="仿宋" w:cs="宋体" w:hint="eastAsia"/>
                <w:sz w:val="24"/>
                <w:szCs w:val="24"/>
              </w:rPr>
              <w:t>千兆电口≥4，千兆Combo(光电复用)接口≥2；SSL VPN并发数≥100；IPSec VPN隧道≥4000；虚拟防火墙数量≥50；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支持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300G硬盘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防火墙吞吐量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≥2Gbps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最大并发连接数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≥300万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每秒新建连接数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≥3万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虚拟防火墙数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配置虚拟防火墙数≥50个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IPSEC VPN隧道数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ab/>
              <w:t>配置VPN隧道数≥4000条</w:t>
            </w:r>
            <w:r w:rsidR="00577766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="00577766" w:rsidRPr="00577766">
              <w:rPr>
                <w:rFonts w:ascii="仿宋" w:eastAsia="仿宋" w:hAnsi="仿宋" w:cs="宋体" w:hint="eastAsia"/>
                <w:sz w:val="24"/>
                <w:szCs w:val="24"/>
              </w:rPr>
              <w:t>包过滤</w:t>
            </w:r>
            <w:r w:rsidR="00577766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="00577766" w:rsidRPr="00577766">
              <w:rPr>
                <w:rFonts w:ascii="仿宋" w:eastAsia="仿宋" w:hAnsi="仿宋" w:cs="宋体" w:hint="eastAsia"/>
                <w:sz w:val="24"/>
                <w:szCs w:val="24"/>
              </w:rPr>
              <w:t>可识别应用层协议数量≥</w:t>
            </w:r>
            <w:r w:rsidR="00577766" w:rsidRPr="00577766">
              <w:rPr>
                <w:rFonts w:ascii="仿宋" w:eastAsia="仿宋" w:hAnsi="仿宋" w:cs="宋体"/>
                <w:sz w:val="24"/>
                <w:szCs w:val="24"/>
              </w:rPr>
              <w:t>5000种</w:t>
            </w:r>
            <w:r w:rsidR="00577766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="00577766" w:rsidRPr="00577766">
              <w:rPr>
                <w:rFonts w:ascii="仿宋" w:eastAsia="仿宋" w:hAnsi="仿宋" w:cs="宋体" w:hint="eastAsia"/>
                <w:sz w:val="24"/>
                <w:szCs w:val="24"/>
              </w:rPr>
              <w:t>支持</w:t>
            </w:r>
            <w:r w:rsidR="00577766" w:rsidRPr="00577766">
              <w:rPr>
                <w:rFonts w:ascii="仿宋" w:eastAsia="仿宋" w:hAnsi="仿宋" w:cs="宋体"/>
                <w:sz w:val="24"/>
                <w:szCs w:val="24"/>
              </w:rPr>
              <w:t>BFD链路检测，支持BFD与VRRP联动实现双机快速切换，支持BFD与OSPF联动实现双机快速切换</w:t>
            </w:r>
            <w:r w:rsidR="00577766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954731" w:rsidTr="00D647C9">
        <w:trPr>
          <w:trHeight w:val="2598"/>
          <w:jc w:val="center"/>
        </w:trPr>
        <w:tc>
          <w:tcPr>
            <w:tcW w:w="1696" w:type="dxa"/>
            <w:vAlign w:val="center"/>
          </w:tcPr>
          <w:p w:rsidR="00954731" w:rsidRPr="00954731" w:rsidRDefault="00954731" w:rsidP="0088085A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54731">
              <w:rPr>
                <w:rFonts w:ascii="黑体" w:eastAsia="黑体" w:hAnsi="黑体" w:hint="eastAsia"/>
                <w:sz w:val="32"/>
                <w:szCs w:val="32"/>
              </w:rPr>
              <w:t>三层核心交换机</w:t>
            </w:r>
          </w:p>
        </w:tc>
        <w:tc>
          <w:tcPr>
            <w:tcW w:w="6600" w:type="dxa"/>
            <w:vAlign w:val="center"/>
          </w:tcPr>
          <w:p w:rsidR="00954731" w:rsidRPr="0088085A" w:rsidRDefault="00D647C9" w:rsidP="00D647C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交换容量≥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27Tbps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；包转发率≥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2800Mpps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；主控引擎≥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2；整机业务板槽位数≥12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；设备支持模块化风扇框，可热插拔，独立风扇框数≥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；支持横向、纵向虚拟化技术；</w:t>
            </w:r>
            <w:r w:rsidR="00C55AD1" w:rsidRPr="0088085A">
              <w:rPr>
                <w:rFonts w:ascii="仿宋" w:eastAsia="仿宋" w:hAnsi="仿宋" w:cs="宋体" w:hint="eastAsia"/>
                <w:sz w:val="24"/>
                <w:szCs w:val="24"/>
              </w:rPr>
              <w:t>支持标准协议的</w:t>
            </w:r>
            <w:r w:rsidR="00C55AD1" w:rsidRPr="0088085A">
              <w:rPr>
                <w:rFonts w:ascii="仿宋" w:eastAsia="仿宋" w:hAnsi="仿宋" w:cs="宋体"/>
                <w:sz w:val="24"/>
                <w:szCs w:val="24"/>
              </w:rPr>
              <w:t>MAC、802.1x、Portal等认证方式</w:t>
            </w:r>
            <w:r w:rsidR="00C55AD1" w:rsidRPr="0088085A">
              <w:rPr>
                <w:rFonts w:ascii="仿宋" w:eastAsia="仿宋" w:hAnsi="仿宋" w:cs="宋体" w:hint="eastAsia"/>
                <w:sz w:val="24"/>
                <w:szCs w:val="24"/>
              </w:rPr>
              <w:t>；支持基于</w:t>
            </w:r>
            <w:r w:rsidR="00C55AD1" w:rsidRPr="0088085A">
              <w:rPr>
                <w:rFonts w:ascii="仿宋" w:eastAsia="仿宋" w:hAnsi="仿宋" w:cs="宋体"/>
                <w:sz w:val="24"/>
                <w:szCs w:val="24"/>
              </w:rPr>
              <w:t>VLAN和端口的MAC学习，基于源地址的MAC过滤</w:t>
            </w:r>
            <w:r w:rsidR="00C55AD1" w:rsidRPr="0088085A">
              <w:rPr>
                <w:rFonts w:ascii="仿宋" w:eastAsia="仿宋" w:hAnsi="仿宋" w:cs="宋体" w:hint="eastAsia"/>
                <w:sz w:val="24"/>
                <w:szCs w:val="24"/>
              </w:rPr>
              <w:t>；配置主控引擎≥</w:t>
            </w:r>
            <w:r w:rsidR="00C55AD1" w:rsidRPr="0088085A">
              <w:rPr>
                <w:rFonts w:ascii="仿宋" w:eastAsia="仿宋" w:hAnsi="仿宋" w:cs="宋体"/>
                <w:sz w:val="24"/>
                <w:szCs w:val="24"/>
              </w:rPr>
              <w:t>2，800W以上交流电源个数≥2，万兆集群端口数≥4（需配置所需的集群连接跳线）</w:t>
            </w:r>
            <w:r w:rsidR="00C55AD1" w:rsidRPr="0088085A">
              <w:rPr>
                <w:rFonts w:ascii="仿宋" w:eastAsia="仿宋" w:hAnsi="仿宋" w:cs="宋体" w:hint="eastAsia"/>
                <w:sz w:val="24"/>
                <w:szCs w:val="24"/>
              </w:rPr>
              <w:t>；单套配置≥</w:t>
            </w:r>
            <w:r w:rsidR="00C55AD1" w:rsidRPr="0088085A">
              <w:rPr>
                <w:rFonts w:ascii="仿宋" w:eastAsia="仿宋" w:hAnsi="仿宋" w:cs="宋体"/>
                <w:sz w:val="24"/>
                <w:szCs w:val="24"/>
              </w:rPr>
              <w:t>16个万兆光口，≥16个千兆光口，≥24个千兆电口</w:t>
            </w:r>
            <w:r w:rsidR="00577766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954731" w:rsidTr="00D647C9">
        <w:trPr>
          <w:trHeight w:val="1827"/>
          <w:jc w:val="center"/>
        </w:trPr>
        <w:tc>
          <w:tcPr>
            <w:tcW w:w="1696" w:type="dxa"/>
            <w:vAlign w:val="center"/>
          </w:tcPr>
          <w:p w:rsidR="00954731" w:rsidRDefault="00954731" w:rsidP="0088085A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54731">
              <w:rPr>
                <w:rFonts w:ascii="黑体" w:eastAsia="黑体" w:hAnsi="黑体" w:hint="eastAsia"/>
                <w:sz w:val="32"/>
                <w:szCs w:val="32"/>
              </w:rPr>
              <w:t>服务器</w:t>
            </w:r>
          </w:p>
          <w:p w:rsidR="00954731" w:rsidRPr="00954731" w:rsidRDefault="00954731" w:rsidP="0088085A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54731">
              <w:rPr>
                <w:rFonts w:ascii="黑体" w:eastAsia="黑体" w:hAnsi="黑体" w:hint="eastAsia"/>
                <w:sz w:val="32"/>
                <w:szCs w:val="32"/>
              </w:rPr>
              <w:t>交换机</w:t>
            </w:r>
          </w:p>
        </w:tc>
        <w:tc>
          <w:tcPr>
            <w:tcW w:w="6600" w:type="dxa"/>
            <w:vAlign w:val="center"/>
          </w:tcPr>
          <w:p w:rsidR="00954731" w:rsidRPr="0088085A" w:rsidRDefault="00C55AD1" w:rsidP="00D647C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交换容量≥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1.28Tbps，包转发率≥216Mpps（L2、L3都必须满足）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24千兆电口、≥4个SFP+接口、≥2个QSFP+接口，配置≥4个万兆多模光模块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 w:rsidR="0088085A" w:rsidRPr="0088085A">
              <w:rPr>
                <w:rFonts w:ascii="仿宋" w:eastAsia="仿宋" w:hAnsi="仿宋" w:cs="宋体" w:hint="eastAsia"/>
                <w:sz w:val="24"/>
                <w:szCs w:val="24"/>
              </w:rPr>
              <w:t>支持横向、纵向虚拟化技术；支持</w:t>
            </w:r>
            <w:r w:rsidR="0088085A" w:rsidRPr="0088085A">
              <w:rPr>
                <w:rFonts w:ascii="仿宋" w:eastAsia="仿宋" w:hAnsi="仿宋" w:cs="宋体"/>
                <w:sz w:val="24"/>
                <w:szCs w:val="24"/>
              </w:rPr>
              <w:t>netstream、sflow</w:t>
            </w:r>
            <w:r w:rsidR="00577766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954731" w:rsidTr="00D647C9">
        <w:trPr>
          <w:trHeight w:val="2122"/>
          <w:jc w:val="center"/>
        </w:trPr>
        <w:tc>
          <w:tcPr>
            <w:tcW w:w="1696" w:type="dxa"/>
            <w:vAlign w:val="center"/>
          </w:tcPr>
          <w:p w:rsidR="00954731" w:rsidRDefault="00954731" w:rsidP="0088085A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54731">
              <w:rPr>
                <w:rFonts w:ascii="黑体" w:eastAsia="黑体" w:hAnsi="黑体" w:hint="eastAsia"/>
                <w:sz w:val="32"/>
                <w:szCs w:val="32"/>
              </w:rPr>
              <w:t>楼层</w:t>
            </w:r>
          </w:p>
          <w:p w:rsidR="00954731" w:rsidRPr="00954731" w:rsidRDefault="00954731" w:rsidP="0088085A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54731">
              <w:rPr>
                <w:rFonts w:ascii="黑体" w:eastAsia="黑体" w:hAnsi="黑体" w:hint="eastAsia"/>
                <w:sz w:val="32"/>
                <w:szCs w:val="32"/>
              </w:rPr>
              <w:t>交换机</w:t>
            </w:r>
          </w:p>
        </w:tc>
        <w:tc>
          <w:tcPr>
            <w:tcW w:w="6600" w:type="dxa"/>
            <w:vAlign w:val="center"/>
          </w:tcPr>
          <w:p w:rsidR="00954731" w:rsidRPr="0088085A" w:rsidRDefault="0088085A" w:rsidP="00D647C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交换容量≥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336Gbps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；包转发率≥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108Mpps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；≥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24个千兆电口，≥4个万兆SFP+端口，单套配置≥4个千兆单模光模块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；支持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USB接口，便于U盘快速开局</w:t>
            </w:r>
            <w:r w:rsidRPr="0088085A">
              <w:rPr>
                <w:rFonts w:ascii="仿宋" w:eastAsia="仿宋" w:hAnsi="仿宋" w:cs="宋体" w:hint="eastAsia"/>
                <w:sz w:val="24"/>
                <w:szCs w:val="24"/>
              </w:rPr>
              <w:t>；支持纵向虚拟化；支持</w:t>
            </w:r>
            <w:r w:rsidRPr="0088085A">
              <w:rPr>
                <w:rFonts w:ascii="仿宋" w:eastAsia="仿宋" w:hAnsi="仿宋" w:cs="宋体"/>
                <w:sz w:val="24"/>
                <w:szCs w:val="24"/>
              </w:rPr>
              <w:t>Openflow 1.3标准，</w:t>
            </w:r>
            <w:r w:rsidR="00724861" w:rsidRPr="00724861">
              <w:rPr>
                <w:rFonts w:ascii="仿宋" w:eastAsia="仿宋" w:hAnsi="仿宋" w:cs="宋体" w:hint="eastAsia"/>
                <w:sz w:val="24"/>
                <w:szCs w:val="24"/>
              </w:rPr>
              <w:t>支持</w:t>
            </w:r>
            <w:r w:rsidR="00724861" w:rsidRPr="00724861">
              <w:rPr>
                <w:rFonts w:ascii="仿宋" w:eastAsia="仿宋" w:hAnsi="仿宋" w:cs="宋体"/>
                <w:sz w:val="24"/>
                <w:szCs w:val="24"/>
              </w:rPr>
              <w:t>G.8032以太环保护协议</w:t>
            </w:r>
            <w:r w:rsidR="00577766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88085A" w:rsidTr="00DF5034">
        <w:trPr>
          <w:trHeight w:val="2408"/>
          <w:jc w:val="center"/>
        </w:trPr>
        <w:tc>
          <w:tcPr>
            <w:tcW w:w="8296" w:type="dxa"/>
            <w:gridSpan w:val="2"/>
            <w:vAlign w:val="center"/>
          </w:tcPr>
          <w:p w:rsidR="0088085A" w:rsidRPr="00D647C9" w:rsidRDefault="0088085A" w:rsidP="0088085A">
            <w:pPr>
              <w:ind w:left="960" w:hangingChars="300" w:hanging="960"/>
              <w:jc w:val="left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备注：</w:t>
            </w:r>
            <w:r w:rsidRPr="0088085A">
              <w:rPr>
                <w:rFonts w:ascii="仿宋" w:eastAsia="仿宋" w:hAnsi="仿宋" w:hint="eastAsia"/>
                <w:sz w:val="32"/>
                <w:szCs w:val="32"/>
              </w:rPr>
              <w:t>以上为设备的基本要求，所提供的设备性能必须要以此为基础，不能低于这个基本配置。</w:t>
            </w:r>
          </w:p>
        </w:tc>
      </w:tr>
    </w:tbl>
    <w:p w:rsidR="00954731" w:rsidRDefault="00954731" w:rsidP="00954731">
      <w:pPr>
        <w:jc w:val="left"/>
      </w:pPr>
    </w:p>
    <w:sectPr w:rsidR="0095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31"/>
    <w:rsid w:val="004A077E"/>
    <w:rsid w:val="00577766"/>
    <w:rsid w:val="00724861"/>
    <w:rsid w:val="008637F7"/>
    <w:rsid w:val="0088085A"/>
    <w:rsid w:val="00954731"/>
    <w:rsid w:val="00C55AD1"/>
    <w:rsid w:val="00D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72F6"/>
  <w15:chartTrackingRefBased/>
  <w15:docId w15:val="{F4A94097-1BA8-46E3-80D7-24CD9451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647C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647C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647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D647C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647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47C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64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2018-03-28T09:51:00Z</dcterms:created>
  <dcterms:modified xsi:type="dcterms:W3CDTF">2018-04-01T09:33:00Z</dcterms:modified>
</cp:coreProperties>
</file>